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DATOS GENERALES DE LA PRÁCTICA DE TRANSPARENCIA PROACTIVA</w:t>
      </w:r>
    </w:p>
    <w:p w:rsidR="00000000" w:rsidDel="00000000" w:rsidP="00000000" w:rsidRDefault="00000000" w:rsidRPr="00000000" w14:paraId="00000002">
      <w:pPr>
        <w:ind w:left="720" w:hanging="720"/>
        <w:jc w:val="center"/>
        <w:rPr>
          <w:rFonts w:ascii="Palatino Linotype" w:cs="Palatino Linotype" w:eastAsia="Palatino Linotype" w:hAnsi="Palatino Linotype"/>
          <w:b w:val="1"/>
        </w:rPr>
      </w:pPr>
      <w:r w:rsidDel="00000000" w:rsidR="00000000" w:rsidRPr="00000000">
        <w:rPr>
          <w:rtl w:val="0"/>
        </w:rPr>
      </w:r>
    </w:p>
    <w:tbl>
      <w:tblPr>
        <w:tblStyle w:val="Table1"/>
        <w:tblW w:w="98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2"/>
        <w:gridCol w:w="1140"/>
        <w:gridCol w:w="1094"/>
        <w:gridCol w:w="1276"/>
        <w:gridCol w:w="1245"/>
        <w:tblGridChange w:id="0">
          <w:tblGrid>
            <w:gridCol w:w="5132"/>
            <w:gridCol w:w="1140"/>
            <w:gridCol w:w="1094"/>
            <w:gridCol w:w="1276"/>
            <w:gridCol w:w="1245"/>
          </w:tblGrid>
        </w:tblGridChange>
      </w:tblGrid>
      <w:tr>
        <w:trPr>
          <w:cantSplit w:val="0"/>
          <w:trHeight w:val="215" w:hRule="atLeast"/>
          <w:tblHeader w:val="0"/>
        </w:trPr>
        <w:tc>
          <w:tcPr>
            <w:shd w:fill="f2f2f2" w:val="clear"/>
            <w:vAlign w:val="center"/>
          </w:tcPr>
          <w:p w:rsidR="00000000" w:rsidDel="00000000" w:rsidP="00000000" w:rsidRDefault="00000000" w:rsidRPr="00000000" w14:paraId="00000003">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de Transparencia Proactiva</w:t>
            </w:r>
          </w:p>
        </w:tc>
        <w:tc>
          <w:tcPr/>
          <w:p w:rsidR="00000000" w:rsidDel="00000000" w:rsidP="00000000" w:rsidRDefault="00000000" w:rsidRPr="00000000" w14:paraId="00000004">
            <w:pPr>
              <w:rPr>
                <w:rFonts w:ascii="Palatino Linotype" w:cs="Palatino Linotype" w:eastAsia="Palatino Linotype" w:hAnsi="Palatino Linotype"/>
                <w:b w:val="1"/>
              </w:rPr>
            </w:pPr>
            <w:r w:rsidDel="00000000" w:rsidR="00000000" w:rsidRPr="00000000">
              <w:rPr>
                <w:rtl w:val="0"/>
              </w:rPr>
            </w:r>
          </w:p>
        </w:tc>
        <w:tc>
          <w:tcPr>
            <w:gridSpan w:val="3"/>
            <w:vAlign w:val="center"/>
          </w:tcPr>
          <w:p w:rsidR="00000000" w:rsidDel="00000000" w:rsidP="00000000" w:rsidRDefault="00000000" w:rsidRPr="00000000" w14:paraId="0000000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Justicia Cívica</w:t>
            </w:r>
          </w:p>
        </w:tc>
      </w:tr>
      <w:tr>
        <w:trPr>
          <w:cantSplit w:val="0"/>
          <w:trHeight w:val="216" w:hRule="atLeast"/>
          <w:tblHeader w:val="0"/>
        </w:trPr>
        <w:tc>
          <w:tcPr>
            <w:shd w:fill="f2f2f2" w:val="clear"/>
            <w:vAlign w:val="center"/>
          </w:tcPr>
          <w:p w:rsidR="00000000" w:rsidDel="00000000" w:rsidP="00000000" w:rsidRDefault="00000000" w:rsidRPr="00000000" w14:paraId="00000008">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Sujeto Obligado </w:t>
            </w:r>
          </w:p>
        </w:tc>
        <w:tc>
          <w:tcPr/>
          <w:p w:rsidR="00000000" w:rsidDel="00000000" w:rsidP="00000000" w:rsidRDefault="00000000" w:rsidRPr="00000000" w14:paraId="0000000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Pr>
          <w:p w:rsidR="00000000" w:rsidDel="00000000" w:rsidP="00000000" w:rsidRDefault="00000000" w:rsidRPr="00000000" w14:paraId="0000000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Secretariado Ejecutivo del Sistema Estatal de Seguridad Pública</w:t>
            </w:r>
          </w:p>
        </w:tc>
      </w:tr>
      <w:tr>
        <w:trPr>
          <w:cantSplit w:val="0"/>
          <w:trHeight w:val="425" w:hRule="atLeast"/>
          <w:tblHeader w:val="0"/>
        </w:trPr>
        <w:tc>
          <w:tcPr>
            <w:shd w:fill="f2f2f2" w:val="clear"/>
            <w:vAlign w:val="center"/>
          </w:tcPr>
          <w:p w:rsidR="00000000" w:rsidDel="00000000" w:rsidP="00000000" w:rsidRDefault="00000000" w:rsidRPr="00000000" w14:paraId="0000000D">
            <w:pPr>
              <w:ind w:left="-56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Tipo de Sujeto Obligado </w:t>
            </w:r>
            <w:r w:rsidDel="00000000" w:rsidR="00000000" w:rsidRPr="00000000">
              <w:rPr>
                <w:rFonts w:ascii="Palatino Linotype" w:cs="Palatino Linotype" w:eastAsia="Palatino Linotype" w:hAnsi="Palatino Linotype"/>
                <w:i w:val="1"/>
                <w:rtl w:val="0"/>
              </w:rPr>
              <w:t xml:space="preserve">(Poder Ejecutivo, Poder Legislativo, Poder Judicial, Organismo Autónomo, Partido Político, Sindicato, etc.)</w:t>
            </w:r>
          </w:p>
        </w:tc>
        <w:tc>
          <w:tcPr>
            <w:vAlign w:val="center"/>
          </w:tcPr>
          <w:p w:rsidR="00000000" w:rsidDel="00000000" w:rsidP="00000000" w:rsidRDefault="00000000" w:rsidRPr="00000000" w14:paraId="0000000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Pr>
          <w:p w:rsidR="00000000" w:rsidDel="00000000" w:rsidP="00000000" w:rsidRDefault="00000000" w:rsidRPr="00000000" w14:paraId="0000000F">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Poder Ejecutivo (Órgano Desconcentrado)</w:t>
            </w:r>
          </w:p>
        </w:tc>
      </w:tr>
      <w:tr>
        <w:trPr>
          <w:cantSplit w:val="0"/>
          <w:trHeight w:val="217" w:hRule="atLeast"/>
          <w:tblHeader w:val="0"/>
        </w:trPr>
        <w:tc>
          <w:tcPr>
            <w:shd w:fill="f2f2f2" w:val="clear"/>
            <w:vAlign w:val="center"/>
          </w:tcPr>
          <w:p w:rsidR="00000000" w:rsidDel="00000000" w:rsidP="00000000" w:rsidRDefault="00000000" w:rsidRPr="00000000" w14:paraId="00000012">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Área responsable de la práctica de Transparencia Proactiva</w:t>
            </w:r>
          </w:p>
        </w:tc>
        <w:tc>
          <w:tcPr/>
          <w:p w:rsidR="00000000" w:rsidDel="00000000" w:rsidP="00000000" w:rsidRDefault="00000000" w:rsidRPr="00000000" w14:paraId="0000001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Pr>
          <w:p w:rsidR="00000000" w:rsidDel="00000000" w:rsidP="00000000" w:rsidRDefault="00000000" w:rsidRPr="00000000" w14:paraId="00000014">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Centro de Prevención del Delito</w:t>
            </w:r>
          </w:p>
        </w:tc>
      </w:tr>
      <w:tr>
        <w:trPr>
          <w:cantSplit w:val="0"/>
          <w:trHeight w:val="217" w:hRule="atLeast"/>
          <w:tblHeader w:val="0"/>
        </w:trPr>
        <w:tc>
          <w:tcPr>
            <w:shd w:fill="f2f2f2" w:val="clear"/>
            <w:vAlign w:val="center"/>
          </w:tcPr>
          <w:p w:rsidR="00000000" w:rsidDel="00000000" w:rsidP="00000000" w:rsidRDefault="00000000" w:rsidRPr="00000000" w14:paraId="00000017">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Titular de la Unidad de Transparencia </w:t>
            </w:r>
          </w:p>
        </w:tc>
        <w:tc>
          <w:tcPr/>
          <w:p w:rsidR="00000000" w:rsidDel="00000000" w:rsidP="00000000" w:rsidRDefault="00000000" w:rsidRPr="00000000" w14:paraId="00000018">
            <w:pPr>
              <w:rPr>
                <w:rFonts w:ascii="Palatino Linotype" w:cs="Palatino Linotype" w:eastAsia="Palatino Linotype" w:hAnsi="Palatino Linotype"/>
                <w:b w:val="1"/>
              </w:rPr>
            </w:pPr>
            <w:r w:rsidDel="00000000" w:rsidR="00000000" w:rsidRPr="00000000">
              <w:rPr>
                <w:rtl w:val="0"/>
              </w:rPr>
            </w:r>
          </w:p>
        </w:tc>
        <w:tc>
          <w:tcPr>
            <w:gridSpan w:val="3"/>
          </w:tcPr>
          <w:p w:rsidR="00000000" w:rsidDel="00000000" w:rsidP="00000000" w:rsidRDefault="00000000" w:rsidRPr="00000000" w14:paraId="00000019">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Brianda Chantal Estrada Rodríguez</w:t>
            </w:r>
          </w:p>
          <w:p w:rsidR="00000000" w:rsidDel="00000000" w:rsidP="00000000" w:rsidRDefault="00000000" w:rsidRPr="00000000" w14:paraId="0000001A">
            <w:pPr>
              <w:jc w:val="both"/>
              <w:rPr>
                <w:rFonts w:ascii="Palatino Linotype" w:cs="Palatino Linotype" w:eastAsia="Palatino Linotype" w:hAnsi="Palatino Linotype"/>
                <w:b w:val="1"/>
              </w:rPr>
            </w:pPr>
            <w:r w:rsidDel="00000000" w:rsidR="00000000" w:rsidRPr="00000000">
              <w:rPr>
                <w:rtl w:val="0"/>
              </w:rPr>
            </w:r>
          </w:p>
        </w:tc>
      </w:tr>
      <w:tr>
        <w:trPr>
          <w:cantSplit w:val="0"/>
          <w:trHeight w:val="215" w:hRule="atLeast"/>
          <w:tblHeader w:val="0"/>
        </w:trPr>
        <w:tc>
          <w:tcPr>
            <w:shd w:fill="f2f2f2" w:val="clear"/>
            <w:vAlign w:val="center"/>
          </w:tcPr>
          <w:p w:rsidR="00000000" w:rsidDel="00000000" w:rsidP="00000000" w:rsidRDefault="00000000" w:rsidRPr="00000000" w14:paraId="0000001D">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práctica ha sido reconocida previamente?</w:t>
            </w:r>
          </w:p>
        </w:tc>
        <w:tc>
          <w:tcPr/>
          <w:p w:rsidR="00000000" w:rsidDel="00000000" w:rsidP="00000000" w:rsidRDefault="00000000" w:rsidRPr="00000000" w14:paraId="0000001E">
            <w:pPr>
              <w:ind w:right="-7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p w:rsidR="00000000" w:rsidDel="00000000" w:rsidP="00000000" w:rsidRDefault="00000000" w:rsidRPr="00000000" w14:paraId="0000001F">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 </w:t>
            </w:r>
          </w:p>
        </w:tc>
        <w:tc>
          <w:tcPr/>
          <w:p w:rsidR="00000000" w:rsidDel="00000000" w:rsidP="00000000" w:rsidRDefault="00000000" w:rsidRPr="00000000" w14:paraId="0000002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p w:rsidR="00000000" w:rsidDel="00000000" w:rsidP="00000000" w:rsidRDefault="00000000" w:rsidRPr="00000000" w14:paraId="00000021">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2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3">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CARACTERÍSTICAS DE LA PRÁCTICA DE TRANSPARENCIA PROACTIVA: </w:t>
      </w:r>
    </w:p>
    <w:p w:rsidR="00000000" w:rsidDel="00000000" w:rsidP="00000000" w:rsidRDefault="00000000" w:rsidRPr="00000000" w14:paraId="00000024">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Señale el año en que surgió y si se encuentra vigente: </w:t>
      </w:r>
    </w:p>
    <w:p w:rsidR="00000000" w:rsidDel="00000000" w:rsidP="00000000" w:rsidRDefault="00000000" w:rsidRPr="00000000" w14:paraId="00000025">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práctica surgió en el año 2024 y se encuentra vigente.</w:t>
      </w:r>
    </w:p>
    <w:p w:rsidR="00000000" w:rsidDel="00000000" w:rsidP="00000000" w:rsidRDefault="00000000" w:rsidRPr="00000000" w14:paraId="00000026">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7">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Explique el objetivo de dicha práctica: </w:t>
      </w:r>
    </w:p>
    <w:p w:rsidR="00000000" w:rsidDel="00000000" w:rsidP="00000000" w:rsidRDefault="00000000" w:rsidRPr="00000000" w14:paraId="00000028">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objetivo de la práctica es dar a conocer entre la ciudadanía, así como las y los servidores públicos municipales del Estado de México, los principales elementos, funcionamiento, normatividad y requisitos para transitar al Modelo Homologado de Justicia Cívica, de una manera clara, ordenada y dirigida a las necesidades específicas de ambos sectores de la sociedad.</w:t>
      </w:r>
    </w:p>
    <w:p w:rsidR="00000000" w:rsidDel="00000000" w:rsidP="00000000" w:rsidRDefault="00000000" w:rsidRPr="00000000" w14:paraId="00000029">
      <w:pPr>
        <w:ind w:left="-425"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3. Indique qué es y cómo funciona </w:t>
      </w:r>
      <w:r w:rsidDel="00000000" w:rsidR="00000000" w:rsidRPr="00000000">
        <w:rPr>
          <w:rFonts w:ascii="Palatino Linotype" w:cs="Palatino Linotype" w:eastAsia="Palatino Linotype" w:hAnsi="Palatino Linotype"/>
          <w:b w:val="1"/>
          <w:i w:val="1"/>
          <w:rtl w:val="0"/>
        </w:rPr>
        <w:t xml:space="preserve">(Por ejemplo: es un Micrositio, pláticas que se llevaron a cabo en …, etc): </w:t>
      </w:r>
    </w:p>
    <w:p w:rsidR="00000000" w:rsidDel="00000000" w:rsidP="00000000" w:rsidRDefault="00000000" w:rsidRPr="00000000" w14:paraId="0000002A">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práctica consiste en un micrositio web en el que se presentan de manera organizada, los diferentes elementos que conforman el Modelo Homologado de Justicia Cívica. Esta información se presenta de manera separada, por un lado, con temas de interés para la ciudadanía en general, y por el otro dirigida a las y los servidores públicos municipales, con información sobre los aspectos que deben considerarse para que un municipio transite al Modelo citado.</w:t>
      </w:r>
    </w:p>
    <w:p w:rsidR="00000000" w:rsidDel="00000000" w:rsidP="00000000" w:rsidRDefault="00000000" w:rsidRPr="00000000" w14:paraId="0000002B">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Describa los contenidos, temas o información publicados como parte de la práctica:</w:t>
      </w:r>
    </w:p>
    <w:p w:rsidR="00000000" w:rsidDel="00000000" w:rsidP="00000000" w:rsidRDefault="00000000" w:rsidRPr="00000000" w14:paraId="0000002C">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Justicia Cívica</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Información dirigida a la ciudadanía en general</w:t>
      </w:r>
    </w:p>
    <w:p w:rsidR="00000000" w:rsidDel="00000000" w:rsidP="00000000" w:rsidRDefault="00000000" w:rsidRPr="00000000" w14:paraId="0000002E">
      <w:pPr>
        <w:ind w:left="-425" w:firstLine="0"/>
        <w:jc w:val="both"/>
        <w:rPr>
          <w:rFonts w:ascii="Palatino Linotype" w:cs="Palatino Linotype" w:eastAsia="Palatino Linotype" w:hAnsi="Palatino Linotype"/>
          <w:b w:val="1"/>
        </w:rPr>
      </w:pPr>
      <w:hyperlink r:id="rId7">
        <w:r w:rsidDel="00000000" w:rsidR="00000000" w:rsidRPr="00000000">
          <w:rPr>
            <w:rFonts w:ascii="Palatino Linotype" w:cs="Palatino Linotype" w:eastAsia="Palatino Linotype" w:hAnsi="Palatino Linotype"/>
            <w:b w:val="1"/>
            <w:color w:val="000000"/>
            <w:u w:val="none"/>
            <w:rtl w:val="0"/>
          </w:rPr>
          <w:t xml:space="preserve">Quiero saber más sobre la justicia cívica</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8">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Definición de Justicia Cívica</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9">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Objetivos de la Justicia Cívica</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0">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¿Qué es el Juzgado Cívico?</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1">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¿Qué son las infracciones?</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2">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¿Qué son las sanciones?</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3">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¿Qué son los conflictos comunitarios?</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4">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¿Qué es el tamizaje?</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5">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¿Qué es la policía in situ?</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6">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Procedimiento ordinario</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7">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Procedimiento por queja</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8">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¿Cómo puedo acceder a la Justicia Cívica?</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9">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Antecedentes de la Justicia Cívica</w:t>
        </w:r>
      </w:hyperlink>
      <w:r w:rsidDel="00000000" w:rsidR="00000000" w:rsidRPr="00000000">
        <w:rPr>
          <w:rtl w:val="0"/>
        </w:rPr>
      </w:r>
    </w:p>
    <w:p w:rsidR="00000000" w:rsidDel="00000000" w:rsidP="00000000" w:rsidRDefault="00000000" w:rsidRPr="00000000" w14:paraId="0000003B">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Información dirigida a las y los servidores públicos</w:t>
      </w:r>
    </w:p>
    <w:p w:rsidR="00000000" w:rsidDel="00000000" w:rsidP="00000000" w:rsidRDefault="00000000" w:rsidRPr="00000000" w14:paraId="0000003D">
      <w:pPr>
        <w:ind w:left="-425" w:firstLine="0"/>
        <w:jc w:val="both"/>
        <w:rPr>
          <w:rFonts w:ascii="Palatino Linotype" w:cs="Palatino Linotype" w:eastAsia="Palatino Linotype" w:hAnsi="Palatino Linotype"/>
          <w:b w:val="1"/>
        </w:rPr>
      </w:pPr>
      <w:hyperlink r:id="rId20">
        <w:r w:rsidDel="00000000" w:rsidR="00000000" w:rsidRPr="00000000">
          <w:rPr>
            <w:rFonts w:ascii="Palatino Linotype" w:cs="Palatino Linotype" w:eastAsia="Palatino Linotype" w:hAnsi="Palatino Linotype"/>
            <w:b w:val="1"/>
            <w:color w:val="000000"/>
            <w:u w:val="none"/>
            <w:rtl w:val="0"/>
          </w:rPr>
          <w:t xml:space="preserve">Quiero que mi municipio transite al modelo homologado de justicia cívica</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1">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Normatividad</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2">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Personal</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3">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Infraestructura</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4">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Funcionamiento</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5">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Audiencias públicas</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6">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Resolución y seguimiento de personas infractoras</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7">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Sistema de registro de información</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8">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Modalidad itinerante</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Enlaces de interés </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Evaluación de satisfacción</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Acciones</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Medios de contacto</w:t>
      </w:r>
    </w:p>
    <w:p w:rsidR="00000000" w:rsidDel="00000000" w:rsidP="00000000" w:rsidRDefault="00000000" w:rsidRPr="00000000" w14:paraId="0000004A">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B">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Describa el motivo por el que surgió:  </w:t>
      </w:r>
    </w:p>
    <w:p w:rsidR="00000000" w:rsidDel="00000000" w:rsidP="00000000" w:rsidRDefault="00000000" w:rsidRPr="00000000" w14:paraId="0000004C">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práctica surge de la necesidad que presentan las y los servidores públicos municipales de la entidad, derivado de la publicación de la Ley de Justicia Cívica del Estado de México y sus Municipios, con la finalidad de adecuar el funcionamiento de sus juzgados cívicos al Modelo Homologado. Asimismo, de la importancia de que la ciudadanía conozca la Justicia Cívica y sus beneficios en la prevención del escalamiento de los conflictos comunitarios a situaciones de violencia o comisión de delitos.</w:t>
      </w:r>
    </w:p>
    <w:p w:rsidR="00000000" w:rsidDel="00000000" w:rsidP="00000000" w:rsidRDefault="00000000" w:rsidRPr="00000000" w14:paraId="0000004D">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 Enuncie los beneficios generados a partir de su implementación: </w:t>
      </w:r>
    </w:p>
    <w:p w:rsidR="00000000" w:rsidDel="00000000" w:rsidP="00000000" w:rsidRDefault="00000000" w:rsidRPr="00000000" w14:paraId="0000004E">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partir de la publicación del micrositio, tanto las y los servidores públicos municipales como la ciudadanía en general, tiene a su alcance la información sobre las características y elementos de la Justicia Cívica necesarios para llevarla a la práctica de manera adecuada. Asimismo, esto facilita la transición de los municipios al Modelo Homologado, impulsando así la adopción de medidas de prevención que evitan que los conflictos comunitarios deriven en conductas violentas o delictivas, fomentando la cultura de la paz.</w:t>
      </w:r>
    </w:p>
    <w:p w:rsidR="00000000" w:rsidDel="00000000" w:rsidP="00000000" w:rsidRDefault="00000000" w:rsidRPr="00000000" w14:paraId="0000004F">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Explica de qué manera la práctica cumple con los atributos de calidad de la información, publicados en los Lineamientos de Implementación y Evaluación de Transparencia Proactiva y que se refieren a:</w:t>
      </w:r>
    </w:p>
    <w:tbl>
      <w:tblPr>
        <w:tblStyle w:val="Table2"/>
        <w:tblW w:w="96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1"/>
        <w:gridCol w:w="2776"/>
        <w:gridCol w:w="6217"/>
        <w:tblGridChange w:id="0">
          <w:tblGrid>
            <w:gridCol w:w="611"/>
            <w:gridCol w:w="2776"/>
            <w:gridCol w:w="6217"/>
          </w:tblGrid>
        </w:tblGridChange>
      </w:tblGrid>
      <w:tr>
        <w:trPr>
          <w:cantSplit w:val="0"/>
          <w:trHeight w:val="319" w:hRule="atLeast"/>
          <w:tblHeader w:val="0"/>
        </w:trPr>
        <w:tc>
          <w:tcPr/>
          <w:p w:rsidR="00000000" w:rsidDel="00000000" w:rsidP="00000000" w:rsidRDefault="00000000" w:rsidRPr="00000000" w14:paraId="00000050">
            <w:pPr>
              <w:jc w:val="both"/>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51">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Atributos de la calidad</w:t>
            </w:r>
          </w:p>
        </w:tc>
        <w:tc>
          <w:tcPr/>
          <w:p w:rsidR="00000000" w:rsidDel="00000000" w:rsidP="00000000" w:rsidRDefault="00000000" w:rsidRPr="00000000" w14:paraId="00000052">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Explicación</w:t>
            </w:r>
          </w:p>
        </w:tc>
      </w:tr>
      <w:tr>
        <w:trPr>
          <w:cantSplit w:val="0"/>
          <w:trHeight w:val="673" w:hRule="atLeast"/>
          <w:tblHeader w:val="0"/>
        </w:trPr>
        <w:tc>
          <w:tcPr/>
          <w:p w:rsidR="00000000" w:rsidDel="00000000" w:rsidP="00000000" w:rsidRDefault="00000000" w:rsidRPr="00000000" w14:paraId="00000053">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w:t>
            </w:r>
          </w:p>
        </w:tc>
        <w:tc>
          <w:tcPr/>
          <w:p w:rsidR="00000000" w:rsidDel="00000000" w:rsidP="00000000" w:rsidRDefault="00000000" w:rsidRPr="00000000" w14:paraId="00000054">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Accesibilidad</w:t>
            </w:r>
          </w:p>
        </w:tc>
        <w:tc>
          <w:tcPr/>
          <w:p w:rsidR="00000000" w:rsidDel="00000000" w:rsidP="00000000" w:rsidRDefault="00000000" w:rsidRPr="00000000" w14:paraId="0000005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cuenta con un apartado para descargar la información en formato de datos abiertos. </w:t>
            </w:r>
          </w:p>
        </w:tc>
      </w:tr>
      <w:tr>
        <w:trPr>
          <w:cantSplit w:val="0"/>
          <w:trHeight w:val="319" w:hRule="atLeast"/>
          <w:tblHeader w:val="0"/>
        </w:trPr>
        <w:tc>
          <w:tcPr/>
          <w:p w:rsidR="00000000" w:rsidDel="00000000" w:rsidP="00000000" w:rsidRDefault="00000000" w:rsidRPr="00000000" w14:paraId="00000056">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w:t>
            </w:r>
          </w:p>
        </w:tc>
        <w:tc>
          <w:tcPr/>
          <w:p w:rsidR="00000000" w:rsidDel="00000000" w:rsidP="00000000" w:rsidRDefault="00000000" w:rsidRPr="00000000" w14:paraId="0000005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tc>
        <w:tc>
          <w:tcPr/>
          <w:p w:rsidR="00000000" w:rsidDel="00000000" w:rsidP="00000000" w:rsidRDefault="00000000" w:rsidRPr="00000000" w14:paraId="00000058">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basa en leyes vigentes, y cuenta con un apartado denominado “acciones” el cual se actualiza de manera periódica.</w:t>
            </w:r>
          </w:p>
        </w:tc>
      </w:tr>
      <w:tr>
        <w:trPr>
          <w:cantSplit w:val="0"/>
          <w:trHeight w:val="336" w:hRule="atLeast"/>
          <w:tblHeader w:val="0"/>
        </w:trPr>
        <w:tc>
          <w:tcPr/>
          <w:p w:rsidR="00000000" w:rsidDel="00000000" w:rsidP="00000000" w:rsidRDefault="00000000" w:rsidRPr="00000000" w14:paraId="00000059">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w:t>
            </w:r>
          </w:p>
        </w:tc>
        <w:tc>
          <w:tcPr/>
          <w:p w:rsidR="00000000" w:rsidDel="00000000" w:rsidP="00000000" w:rsidRDefault="00000000" w:rsidRPr="00000000" w14:paraId="0000005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tc>
        <w:tc>
          <w:tcPr/>
          <w:p w:rsidR="00000000" w:rsidDel="00000000" w:rsidP="00000000" w:rsidRDefault="00000000" w:rsidRPr="00000000" w14:paraId="0000005B">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información se encuentra desarrollada de manera sencilla, clara y entendible tanto para la ciudadanía, como para las y los servidores públicos.</w:t>
            </w:r>
          </w:p>
        </w:tc>
      </w:tr>
      <w:tr>
        <w:trPr>
          <w:cantSplit w:val="0"/>
          <w:trHeight w:val="319" w:hRule="atLeast"/>
          <w:tblHeader w:val="0"/>
        </w:trPr>
        <w:tc>
          <w:tcPr/>
          <w:p w:rsidR="00000000" w:rsidDel="00000000" w:rsidP="00000000" w:rsidRDefault="00000000" w:rsidRPr="00000000" w14:paraId="0000005C">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w:t>
            </w:r>
          </w:p>
        </w:tc>
        <w:tc>
          <w:tcPr/>
          <w:p w:rsidR="00000000" w:rsidDel="00000000" w:rsidP="00000000" w:rsidRDefault="00000000" w:rsidRPr="00000000" w14:paraId="0000005D">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 </w:t>
            </w:r>
          </w:p>
        </w:tc>
        <w:tc>
          <w:tcPr/>
          <w:p w:rsidR="00000000" w:rsidDel="00000000" w:rsidP="00000000" w:rsidRDefault="00000000" w:rsidRPr="00000000" w14:paraId="0000005E">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Es útil para la toma de decisiones.</w:t>
            </w:r>
          </w:p>
        </w:tc>
      </w:tr>
      <w:tr>
        <w:trPr>
          <w:cantSplit w:val="0"/>
          <w:trHeight w:val="336" w:hRule="atLeast"/>
          <w:tblHeader w:val="0"/>
        </w:trPr>
        <w:tc>
          <w:tcPr/>
          <w:p w:rsidR="00000000" w:rsidDel="00000000" w:rsidP="00000000" w:rsidRDefault="00000000" w:rsidRPr="00000000" w14:paraId="0000005F">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p>
        </w:tc>
        <w:tc>
          <w:tcPr/>
          <w:p w:rsidR="00000000" w:rsidDel="00000000" w:rsidP="00000000" w:rsidRDefault="00000000" w:rsidRPr="00000000" w14:paraId="00000060">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tc>
        <w:tc>
          <w:tcPr/>
          <w:p w:rsidR="00000000" w:rsidDel="00000000" w:rsidP="00000000" w:rsidRDefault="00000000" w:rsidRPr="00000000" w14:paraId="00000061">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Tiene sustento legal.</w:t>
            </w:r>
          </w:p>
        </w:tc>
      </w:tr>
      <w:tr>
        <w:trPr>
          <w:cantSplit w:val="0"/>
          <w:trHeight w:val="319" w:hRule="atLeast"/>
          <w:tblHeader w:val="0"/>
        </w:trPr>
        <w:tc>
          <w:tcPr/>
          <w:p w:rsidR="00000000" w:rsidDel="00000000" w:rsidP="00000000" w:rsidRDefault="00000000" w:rsidRPr="00000000" w14:paraId="00000062">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w:t>
            </w:r>
          </w:p>
        </w:tc>
        <w:tc>
          <w:tcPr/>
          <w:p w:rsidR="00000000" w:rsidDel="00000000" w:rsidP="00000000" w:rsidRDefault="00000000" w:rsidRPr="00000000" w14:paraId="0000006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tc>
        <w:tc>
          <w:tcPr/>
          <w:p w:rsidR="00000000" w:rsidDel="00000000" w:rsidP="00000000" w:rsidRDefault="00000000" w:rsidRPr="00000000" w14:paraId="00000064">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Es coherente con la normatividad vigente.</w:t>
            </w:r>
          </w:p>
        </w:tc>
      </w:tr>
      <w:tr>
        <w:trPr>
          <w:cantSplit w:val="0"/>
          <w:trHeight w:val="319" w:hRule="atLeast"/>
          <w:tblHeader w:val="0"/>
        </w:trPr>
        <w:tc>
          <w:tcPr/>
          <w:p w:rsidR="00000000" w:rsidDel="00000000" w:rsidP="00000000" w:rsidRDefault="00000000" w:rsidRPr="00000000" w14:paraId="00000065">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w:t>
            </w:r>
          </w:p>
        </w:tc>
        <w:tc>
          <w:tcPr/>
          <w:p w:rsidR="00000000" w:rsidDel="00000000" w:rsidP="00000000" w:rsidRDefault="00000000" w:rsidRPr="00000000" w14:paraId="00000066">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tc>
        <w:tc>
          <w:tcPr/>
          <w:p w:rsidR="00000000" w:rsidDel="00000000" w:rsidP="00000000" w:rsidRDefault="00000000" w:rsidRPr="00000000" w14:paraId="0000006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proporcionan todos los datos, aspectos, partes o referentes necesarios que requiere tanto la ciudadanía, como las y los servidores públicos.</w:t>
            </w:r>
          </w:p>
        </w:tc>
      </w:tr>
      <w:tr>
        <w:trPr>
          <w:cantSplit w:val="0"/>
          <w:trHeight w:val="336" w:hRule="atLeast"/>
          <w:tblHeader w:val="0"/>
        </w:trPr>
        <w:tc>
          <w:tcPr/>
          <w:p w:rsidR="00000000" w:rsidDel="00000000" w:rsidP="00000000" w:rsidRDefault="00000000" w:rsidRPr="00000000" w14:paraId="00000068">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w:t>
            </w:r>
          </w:p>
        </w:tc>
        <w:tc>
          <w:tcPr/>
          <w:p w:rsidR="00000000" w:rsidDel="00000000" w:rsidP="00000000" w:rsidRDefault="00000000" w:rsidRPr="00000000" w14:paraId="00000069">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Actualizada</w:t>
            </w:r>
          </w:p>
        </w:tc>
        <w:tc>
          <w:tcPr/>
          <w:p w:rsidR="00000000" w:rsidDel="00000000" w:rsidP="00000000" w:rsidRDefault="00000000" w:rsidRPr="00000000" w14:paraId="0000006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Cuenta con la última versión actualizada.</w:t>
            </w:r>
          </w:p>
        </w:tc>
      </w:tr>
      <w:tr>
        <w:trPr>
          <w:cantSplit w:val="0"/>
          <w:trHeight w:val="319" w:hRule="atLeast"/>
          <w:tblHeader w:val="0"/>
        </w:trPr>
        <w:tc>
          <w:tcPr/>
          <w:p w:rsidR="00000000" w:rsidDel="00000000" w:rsidP="00000000" w:rsidRDefault="00000000" w:rsidRPr="00000000" w14:paraId="0000006B">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w:t>
            </w:r>
          </w:p>
        </w:tc>
        <w:tc>
          <w:tcPr/>
          <w:p w:rsidR="00000000" w:rsidDel="00000000" w:rsidP="00000000" w:rsidRDefault="00000000" w:rsidRPr="00000000" w14:paraId="0000006C">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tc>
        <w:tc>
          <w:tcPr/>
          <w:p w:rsidR="00000000" w:rsidDel="00000000" w:rsidP="00000000" w:rsidRDefault="00000000" w:rsidRPr="00000000" w14:paraId="0000006D">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Puede ser verificado en la normatividad vigente.</w:t>
            </w:r>
          </w:p>
        </w:tc>
      </w:tr>
      <w:tr>
        <w:trPr>
          <w:cantSplit w:val="0"/>
          <w:trHeight w:val="336" w:hRule="atLeast"/>
          <w:tblHeader w:val="0"/>
        </w:trPr>
        <w:tc>
          <w:tcPr/>
          <w:p w:rsidR="00000000" w:rsidDel="00000000" w:rsidP="00000000" w:rsidRDefault="00000000" w:rsidRPr="00000000" w14:paraId="0000006E">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w:t>
            </w:r>
          </w:p>
        </w:tc>
        <w:tc>
          <w:tcPr/>
          <w:p w:rsidR="00000000" w:rsidDel="00000000" w:rsidP="00000000" w:rsidRDefault="00000000" w:rsidRPr="00000000" w14:paraId="0000006F">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p w:rsidR="00000000" w:rsidDel="00000000" w:rsidP="00000000" w:rsidRDefault="00000000" w:rsidRPr="00000000" w14:paraId="00000070">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Cuenta con un apartado para descargar la información en formato WORD y TXT.</w:t>
            </w:r>
          </w:p>
        </w:tc>
      </w:tr>
    </w:tbl>
    <w:p w:rsidR="00000000" w:rsidDel="00000000" w:rsidP="00000000" w:rsidRDefault="00000000" w:rsidRPr="00000000" w14:paraId="00000071">
      <w:pPr>
        <w:jc w:val="both"/>
        <w:rPr>
          <w:rFonts w:ascii="Palatino Linotype" w:cs="Palatino Linotype" w:eastAsia="Palatino Linotype" w:hAnsi="Palatino Linotype"/>
          <w:b w:val="1"/>
        </w:rPr>
      </w:pPr>
      <w:r w:rsidDel="00000000" w:rsidR="00000000" w:rsidRPr="00000000">
        <w:rPr>
          <w:rtl w:val="0"/>
        </w:rPr>
      </w:r>
    </w:p>
    <w:tbl>
      <w:tblPr>
        <w:tblStyle w:val="Table3"/>
        <w:tblW w:w="9983.0" w:type="dxa"/>
        <w:jc w:val="center"/>
        <w:tblLayout w:type="fixed"/>
        <w:tblLook w:val="0400"/>
      </w:tblPr>
      <w:tblGrid>
        <w:gridCol w:w="1696"/>
        <w:gridCol w:w="2268"/>
        <w:gridCol w:w="2835"/>
        <w:gridCol w:w="3184"/>
        <w:tblGridChange w:id="0">
          <w:tblGrid>
            <w:gridCol w:w="1696"/>
            <w:gridCol w:w="2268"/>
            <w:gridCol w:w="2835"/>
            <w:gridCol w:w="3184"/>
          </w:tblGrid>
        </w:tblGridChange>
      </w:tblGrid>
      <w:tr>
        <w:trPr>
          <w:cantSplit w:val="0"/>
          <w:trHeight w:val="493"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2">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Indique de qué manera cumple con los objetivos su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6">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Disminuir asimetrías de la información </w:t>
            </w:r>
          </w:p>
          <w:p w:rsidR="00000000" w:rsidDel="00000000" w:rsidP="00000000" w:rsidRDefault="00000000" w:rsidRPr="00000000" w14:paraId="00000077">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78">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9">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Mejorar el acceso a trámites o servicios</w:t>
            </w:r>
          </w:p>
          <w:p w:rsidR="00000000" w:rsidDel="00000000" w:rsidP="00000000" w:rsidRDefault="00000000" w:rsidRPr="00000000" w14:paraId="0000007A">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7B">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C">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Optimizar la toma de decisiones de autoridades, ciudadanos o de la población en general</w:t>
            </w:r>
          </w:p>
          <w:p w:rsidR="00000000" w:rsidDel="00000000" w:rsidP="00000000" w:rsidRDefault="00000000" w:rsidRPr="00000000" w14:paraId="0000007D">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7E">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F">
            <w:pPr>
              <w:spacing w:after="0" w:lineRule="auto"/>
              <w:ind w:left="-566"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Detonar la rendición de cuentas efectiva</w:t>
            </w:r>
          </w:p>
          <w:p w:rsidR="00000000" w:rsidDel="00000000" w:rsidP="00000000" w:rsidRDefault="00000000" w:rsidRPr="00000000" w14:paraId="00000080">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81">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ind w:left="-68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porque permite acceder a este tipo de información.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ind w:left="-71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porque informa tanto a la ciudadanía como a las y los servidores públicos municipales, las etapas del procedimiento.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ind w:left="-69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porque al conocer el procedimiento, tanto la ciudadanía como las y los servidores públicos municipales, pueden ejecutar las mejores decisiones.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ind w:left="-69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porque en si mismo representa la ejecución de la normatividad aplicable, además, se encuentra en formato accesible, y cuenta con un apartado de nominado “acciones”, en el cual se expone las actividades que realiza este Sujeto Obligado, y que sirve de rendición de cuentas.</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6">
            <w:pPr>
              <w:ind w:left="-56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Observaciones: </w:t>
            </w:r>
            <w:r w:rsidDel="00000000" w:rsidR="00000000" w:rsidRPr="00000000">
              <w:rPr>
                <w:rFonts w:ascii="Palatino Linotype" w:cs="Palatino Linotype" w:eastAsia="Palatino Linotype" w:hAnsi="Palatino Linotype"/>
                <w:i w:val="1"/>
                <w:rtl w:val="0"/>
              </w:rPr>
              <w:t xml:space="preserve">(anote aquí cualquier información adicional que permita conocer el detalle del o los objetivos y su cumplimiento)</w:t>
            </w:r>
          </w:p>
        </w:tc>
      </w:tr>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información publicada se encuentra organizada de tal forma que el usuario, ya sea un ciudadano o una persona servidora pública, pueda encontrar de manera rápida los temas que sean de su interés, pues se cuenta con una sección dirigida a la ciudadanía en general donde los temas se exponen con un lenguaje claro y sencillo, de forma tal que sea accesible y fácil de leer para la mayor parte de la población. Por otro lado, mejora el acceso a trámites o servicios ya que proporciona información dirigida a la ciudadanía sobre como acceder a los servicios que deben proporcionar los juzgados cívicos. Por último, optimiza la toma de decisiones porque brinda las herramientas necesarias para conocer los elementos de la justicia cívica, los procedimientos, así como enlaces a documentos externos de utilidad para la transición al Modelo Homologado.    </w:t>
            </w:r>
          </w:p>
        </w:tc>
      </w:tr>
    </w:tbl>
    <w:p w:rsidR="00000000" w:rsidDel="00000000" w:rsidP="00000000" w:rsidRDefault="00000000" w:rsidRPr="00000000" w14:paraId="0000008E">
      <w:pPr>
        <w:rPr>
          <w:rFonts w:ascii="Palatino Linotype" w:cs="Palatino Linotype" w:eastAsia="Palatino Linotype" w:hAnsi="Palatino Linotype"/>
          <w:b w:val="1"/>
          <w:highlight w:val="yellow"/>
        </w:rPr>
      </w:pPr>
      <w:r w:rsidDel="00000000" w:rsidR="00000000" w:rsidRPr="00000000">
        <w:rPr>
          <w:rtl w:val="0"/>
        </w:rPr>
      </w:r>
    </w:p>
    <w:tbl>
      <w:tblPr>
        <w:tblStyle w:val="Table4"/>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F">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 ¿La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0">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2">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94">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de que la respuesta sea afirmativa, indique a cuál sector se enfoca: </w:t>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9">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B">
            <w:pPr>
              <w:rPr>
                <w:rFonts w:ascii="Palatino Linotype" w:cs="Palatino Linotype" w:eastAsia="Palatino Linotype" w:hAnsi="Palatino Linotype"/>
                <w:b w:val="1"/>
              </w:rPr>
            </w:pPr>
            <w:r w:rsidDel="00000000" w:rsidR="00000000" w:rsidRPr="00000000">
              <w:rPr>
                <w:rtl w:val="0"/>
              </w:rPr>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9E">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A0">
            <w:pPr>
              <w:rPr>
                <w:rFonts w:ascii="Palatino Linotype" w:cs="Palatino Linotype" w:eastAsia="Palatino Linotype" w:hAnsi="Palatino Linotype"/>
                <w:b w:val="1"/>
              </w:rPr>
            </w:pPr>
            <w:r w:rsidDel="00000000" w:rsidR="00000000" w:rsidRPr="00000000">
              <w:rPr>
                <w:rtl w:val="0"/>
              </w:rPr>
            </w:r>
          </w:p>
        </w:tc>
      </w:tr>
      <w:tr>
        <w:trPr>
          <w:cantSplit w:val="0"/>
          <w:trHeight w:val="306"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La información está dirigida, por una parte, a la ciudadanía en general, y por el otro, a las y los servidores públicos que tengan la necesidad de conocer las características del Modelo Homologado de Justicia Cívica para llevas a cabo las adecuaciones necesarias para que su municipio transite al mismo.</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5">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A8">
      <w:pPr>
        <w:rPr>
          <w:rFonts w:ascii="Palatino Linotype" w:cs="Palatino Linotype" w:eastAsia="Palatino Linotype" w:hAnsi="Palatino Linotype"/>
          <w:b w:val="1"/>
        </w:rPr>
      </w:pPr>
      <w:r w:rsidDel="00000000" w:rsidR="00000000" w:rsidRPr="00000000">
        <w:rPr>
          <w:rtl w:val="0"/>
        </w:rPr>
      </w:r>
    </w:p>
    <w:tbl>
      <w:tblPr>
        <w:tblStyle w:val="Table5"/>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9">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 ¿La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E">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8">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Adjuntar y nombrar la evidencia o hipervínculo de la participación (pueden ser minutas o actas de trabajo, evidencias fotográficas, videos, etc.)</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rPr>
                <w:rFonts w:ascii="Palatino Linotype" w:cs="Palatino Linotype" w:eastAsia="Palatino Linotype" w:hAnsi="Palatino Linotype"/>
                <w:b w:val="1"/>
                <w:highlight w:val="yellow"/>
              </w:rPr>
            </w:pP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C2">
            <w:pPr>
              <w:ind w:hanging="42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A pesar de que no se contó con la participación de algún otro actor público o social, se incluyó en el micrositio web una sección destinada a la evaluación de satisfacción, así como los medios de contacto para realizar cualquier sugerencia o solventar cualquier duda, con lo que se pretende realizar adecuaciones al micrositio para adaptarse a las necesidades de los usuarios.</w:t>
            </w:r>
          </w:p>
        </w:tc>
      </w:tr>
    </w:tbl>
    <w:p w:rsidR="00000000" w:rsidDel="00000000" w:rsidP="00000000" w:rsidRDefault="00000000" w:rsidRPr="00000000" w14:paraId="000000C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6"/>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11. ¿La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C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D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indique qué demanda o necesidad atiende:</w:t>
            </w:r>
          </w:p>
        </w:tc>
      </w:tr>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D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atiende la necesidad de conocer el funcionamiento al que se deben apegar los Juzgados Cívicos según lo establecido en la Ley de Justicia Cívica del Estado de México y sus Municipios, así como los procedimientos y servicios a los que puede acceder la ciudadanía.</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9">
            <w:pPr>
              <w:rPr>
                <w:rFonts w:ascii="Palatino Linotype" w:cs="Palatino Linotype" w:eastAsia="Palatino Linotype" w:hAnsi="Palatino Linotype"/>
                <w:b w:val="1"/>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D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E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E3">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E6">
      <w:pPr>
        <w:rPr>
          <w:rFonts w:ascii="Palatino Linotype" w:cs="Palatino Linotype" w:eastAsia="Palatino Linotype" w:hAnsi="Palatino Linotype"/>
          <w:b w:val="1"/>
        </w:rPr>
      </w:pPr>
      <w:bookmarkStart w:colFirst="0" w:colLast="0" w:name="_heading=h.1fob9te" w:id="0"/>
      <w:bookmarkEnd w:id="0"/>
      <w:r w:rsidDel="00000000" w:rsidR="00000000" w:rsidRPr="00000000">
        <w:rPr>
          <w:rFonts w:ascii="Palatino Linotype" w:cs="Palatino Linotype" w:eastAsia="Palatino Linotype" w:hAnsi="Palatino Linotype"/>
          <w:b w:val="1"/>
          <w:rtl w:val="0"/>
        </w:rPr>
        <w:t xml:space="preserve"> </w:t>
      </w:r>
    </w:p>
    <w:tbl>
      <w:tblPr>
        <w:tblStyle w:val="Table7"/>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7">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12. 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A">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B">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C">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0">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Enlista las fuentes utilizadas y como fueron aprovechadas: </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ind w:left="-708" w:firstLine="0"/>
              <w:rPr>
                <w:rFonts w:ascii="Palatino Linotype" w:cs="Palatino Linotype" w:eastAsia="Palatino Linotype" w:hAnsi="Palatino Linotype"/>
                <w:b w:val="1"/>
                <w:highlight w:val="yellow"/>
              </w:rPr>
            </w:pPr>
            <w:r w:rsidDel="00000000" w:rsidR="00000000" w:rsidRPr="00000000">
              <w:rPr>
                <w:rFonts w:ascii="Palatino Linotype" w:cs="Palatino Linotype" w:eastAsia="Palatino Linotype" w:hAnsi="Palatino Linotype"/>
                <w:b w:val="1"/>
                <w:rtl w:val="0"/>
              </w:rPr>
              <w:t xml:space="preserve">La información se deriva de la transferencia de conocimiento que se llevó a cabo durante los años precedentes entre el Centro de Prevención del Delito así como otros actores públicos y privados en matera de Justicia Cívica. Además, de Protocolos y Estándares, los cuales son visibles en la página electrónica de Justicia Cívica:  https://sesespem.edomex.gob.mx/enlaces-interes-jc</w:t>
            </w:r>
            <w:r w:rsidDel="00000000" w:rsidR="00000000" w:rsidRPr="00000000">
              <w:rPr>
                <w:rtl w:val="0"/>
              </w:rPr>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6">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0F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8"/>
        <w:tblW w:w="9735.0" w:type="dxa"/>
        <w:jc w:val="center"/>
        <w:tblLayout w:type="fixed"/>
        <w:tblLook w:val="0400"/>
      </w:tblPr>
      <w:tblGrid>
        <w:gridCol w:w="4035"/>
        <w:gridCol w:w="1560"/>
        <w:gridCol w:w="1560"/>
        <w:gridCol w:w="990"/>
        <w:gridCol w:w="1590"/>
        <w:tblGridChange w:id="0">
          <w:tblGrid>
            <w:gridCol w:w="4035"/>
            <w:gridCol w:w="1560"/>
            <w:gridCol w:w="1560"/>
            <w:gridCol w:w="990"/>
            <w:gridCol w:w="15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13. ¿Se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E">
            <w:pPr>
              <w:ind w:hanging="5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00">
            <w:pPr>
              <w:ind w:left="-35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1"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2">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mencione como se ha difundido su información generada y que medios de comunicación se utilizaron (trípticos, volantes, radio, televisión, perifoneo, redes sociales, etc.):</w:t>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ind w:left="-708" w:firstLine="0"/>
              <w:rPr>
                <w:rFonts w:ascii="Palatino Linotype" w:cs="Palatino Linotype" w:eastAsia="Palatino Linotype" w:hAnsi="Palatino Linotype"/>
                <w:b w:val="1"/>
              </w:rPr>
            </w:pPr>
            <w:hyperlink r:id="rId29">
              <w:r w:rsidDel="00000000" w:rsidR="00000000" w:rsidRPr="00000000">
                <w:rPr>
                  <w:rFonts w:ascii="Palatino Linotype" w:cs="Palatino Linotype" w:eastAsia="Palatino Linotype" w:hAnsi="Palatino Linotype"/>
                  <w:b w:val="1"/>
                  <w:color w:val="0563c1"/>
                  <w:u w:val="single"/>
                  <w:rtl w:val="0"/>
                </w:rPr>
                <w:t xml:space="preserve">https://x.com/SecretariadoGEM/status/1926062812054306901</w:t>
              </w:r>
            </w:hyperlink>
            <w:r w:rsidDel="00000000" w:rsidR="00000000" w:rsidRPr="00000000">
              <w:rPr>
                <w:rtl w:val="0"/>
              </w:rPr>
            </w:r>
          </w:p>
          <w:p w:rsidR="00000000" w:rsidDel="00000000" w:rsidP="00000000" w:rsidRDefault="00000000" w:rsidRPr="00000000" w14:paraId="00000108">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2638793" cy="3810532"/>
                  <wp:effectExtent b="0" l="0" r="0" t="0"/>
                  <wp:docPr id="406739255"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2638793" cy="3810532"/>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ind w:left="-708"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A">
            <w:pPr>
              <w:ind w:left="-708" w:firstLine="0"/>
              <w:rPr>
                <w:rFonts w:ascii="Palatino Linotype" w:cs="Palatino Linotype" w:eastAsia="Palatino Linotype" w:hAnsi="Palatino Linotype"/>
                <w:b w:val="1"/>
              </w:rPr>
            </w:pPr>
            <w:hyperlink r:id="rId31">
              <w:r w:rsidDel="00000000" w:rsidR="00000000" w:rsidRPr="00000000">
                <w:rPr>
                  <w:rFonts w:ascii="Palatino Linotype" w:cs="Palatino Linotype" w:eastAsia="Palatino Linotype" w:hAnsi="Palatino Linotype"/>
                  <w:b w:val="1"/>
                  <w:color w:val="0563c1"/>
                  <w:u w:val="single"/>
                  <w:rtl w:val="0"/>
                </w:rPr>
                <w:t xml:space="preserve">https://www.facebook.com/share/p/196ZmAKyMS/</w:t>
              </w:r>
            </w:hyperlink>
            <w:r w:rsidDel="00000000" w:rsidR="00000000" w:rsidRPr="00000000">
              <w:rPr>
                <w:rtl w:val="0"/>
              </w:rPr>
            </w:r>
          </w:p>
          <w:p w:rsidR="00000000" w:rsidDel="00000000" w:rsidP="00000000" w:rsidRDefault="00000000" w:rsidRPr="00000000" w14:paraId="0000010B">
            <w:pPr>
              <w:ind w:left="-708"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C">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2724530" cy="3772426"/>
                  <wp:effectExtent b="0" l="0" r="0" t="0"/>
                  <wp:docPr id="40673925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2724530" cy="3772426"/>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ind w:left="-708" w:firstLine="0"/>
              <w:rPr>
                <w:rFonts w:ascii="Palatino Linotype" w:cs="Palatino Linotype" w:eastAsia="Palatino Linotype" w:hAnsi="Palatino Linotype"/>
                <w:b w:val="1"/>
              </w:rPr>
            </w:pPr>
            <w:r w:rsidDel="00000000" w:rsidR="00000000" w:rsidRPr="00000000">
              <w:rPr>
                <w:rtl w:val="0"/>
              </w:rPr>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El micrositio tiene como población objetivo a las y los servidores públicos interesados en realizar las adecuaciones necesarios para que su municipio transite al Modelo Homologado de Justicia Cívica; por lo que, publicar esta información en un sitio web de manera organizada y dirigida a sus necesidades específicas, será adecuado para dicha población. Por otro lado, el micrositio también contiene una sección dirigida a la ciudadanía en general, misma que se expone con un lenguaje claro y sencillo, de forma tal que sea accesible y fácil de leer para la mayor parte de la población.  </w:t>
            </w:r>
          </w:p>
        </w:tc>
      </w:tr>
    </w:tbl>
    <w:p w:rsidR="00000000" w:rsidDel="00000000" w:rsidP="00000000" w:rsidRDefault="00000000" w:rsidRPr="00000000" w14:paraId="0000011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9"/>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14. 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2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27">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9">
            <w:pPr>
              <w:rPr>
                <w:rFonts w:ascii="Palatino Linotype" w:cs="Palatino Linotype" w:eastAsia="Palatino Linotype" w:hAnsi="Palatino Linotype"/>
                <w:b w:val="1"/>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2C">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2E">
            <w:pPr>
              <w:rPr>
                <w:rFonts w:ascii="Palatino Linotype" w:cs="Palatino Linotype" w:eastAsia="Palatino Linotype" w:hAnsi="Palatino Linotype"/>
                <w:b w:val="1"/>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31">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La información dirigida a la ciudadanía no requiere algún conocimiento técnico.</w:t>
            </w:r>
          </w:p>
          <w:p w:rsidR="00000000" w:rsidDel="00000000" w:rsidP="00000000" w:rsidRDefault="00000000" w:rsidRPr="00000000" w14:paraId="00000132">
            <w:pPr>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3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Por otra parte, la información dirigida a las y los servidores públicos que, refiere a los procedimientos de justicia empleados en el juzgado cívico, así como de ordenamientos jurídicos y normativos, procesos de mediación y conciliación, entre otros, si requieren tener al menos un panorama general de los temas de Justicia Cívica.</w:t>
            </w:r>
          </w:p>
          <w:p w:rsidR="00000000" w:rsidDel="00000000" w:rsidP="00000000" w:rsidRDefault="00000000" w:rsidRPr="00000000" w14:paraId="00000134">
            <w:pPr>
              <w:rPr>
                <w:rFonts w:ascii="Palatino Linotype" w:cs="Palatino Linotype" w:eastAsia="Palatino Linotype" w:hAnsi="Palatino Linotype"/>
                <w:b w:val="1"/>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36">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13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10"/>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A">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15. ¿La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B">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D">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F">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explique el funcionamiento y uso de los mecanismos de participación (encuesta de satisfacción) utilizados:</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ind w:left="-708" w:firstLine="0"/>
              <w:rPr>
                <w:rFonts w:ascii="Palatino Linotype" w:cs="Palatino Linotype" w:eastAsia="Palatino Linotype" w:hAnsi="Palatino Linotype"/>
                <w:b w:val="1"/>
                <w:highlight w:val="yellow"/>
              </w:rPr>
            </w:pPr>
            <w:r w:rsidDel="00000000" w:rsidR="00000000" w:rsidRPr="00000000">
              <w:rPr>
                <w:rFonts w:ascii="Palatino Linotype" w:cs="Palatino Linotype" w:eastAsia="Palatino Linotype" w:hAnsi="Palatino Linotype"/>
                <w:b w:val="1"/>
                <w:rtl w:val="0"/>
              </w:rPr>
              <w:t xml:space="preserve">Encuesta de satisfacción</w:t>
            </w:r>
            <w:r w:rsidDel="00000000" w:rsidR="00000000" w:rsidRPr="00000000">
              <w:rPr>
                <w:rtl w:val="0"/>
              </w:rPr>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9">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https://sesespem.edomex.gob.mx/evaluacion-satisfaccion-jc</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Se incluyó en el micrositio una sección destinada a la evaluación de satisfacción, así como los medios de contacto para realizar cualquier sugerencia o solventar cualquier duda, con lo que se pretende realizar adecuaciones al micrositio para adaptarse a las necesidades.</w:t>
            </w:r>
          </w:p>
        </w:tc>
      </w:tr>
    </w:tbl>
    <w:p w:rsidR="00000000" w:rsidDel="00000000" w:rsidP="00000000" w:rsidRDefault="00000000" w:rsidRPr="00000000" w14:paraId="00000158">
      <w:pPr>
        <w:rPr>
          <w:rFonts w:ascii="Palatino Linotype" w:cs="Palatino Linotype" w:eastAsia="Palatino Linotype" w:hAnsi="Palatino Linotype"/>
          <w:b w:val="1"/>
        </w:rPr>
      </w:pPr>
      <w:r w:rsidDel="00000000" w:rsidR="00000000" w:rsidRPr="00000000">
        <w:rPr>
          <w:rtl w:val="0"/>
        </w:rPr>
      </w:r>
    </w:p>
    <w:tbl>
      <w:tblPr>
        <w:tblStyle w:val="Table11"/>
        <w:tblW w:w="9780.0" w:type="dxa"/>
        <w:jc w:val="center"/>
        <w:tblLayout w:type="fixed"/>
        <w:tblLook w:val="0400"/>
      </w:tblPr>
      <w:tblGrid>
        <w:gridCol w:w="5280"/>
        <w:gridCol w:w="975"/>
        <w:gridCol w:w="1575"/>
        <w:gridCol w:w="975"/>
        <w:gridCol w:w="975"/>
        <w:tblGridChange w:id="0">
          <w:tblGrid>
            <w:gridCol w:w="5280"/>
            <w:gridCol w:w="975"/>
            <w:gridCol w:w="1575"/>
            <w:gridCol w:w="975"/>
            <w:gridCol w:w="97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9">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16. ¿La práctica cuenta con algún registro del número de consultas realizadas a la información difundida? </w:t>
            </w:r>
            <w:r w:rsidDel="00000000" w:rsidR="00000000" w:rsidRPr="00000000">
              <w:rPr>
                <w:rFonts w:ascii="Palatino Linotype" w:cs="Palatino Linotype" w:eastAsia="Palatino Linotype" w:hAnsi="Palatino Linotype"/>
                <w:i w:val="1"/>
                <w:rtl w:val="0"/>
              </w:rPr>
              <w:t xml:space="preserve">(por ejemplo: número de visitas al sitio de la práctica, número de usuarios atendidos, entre otros mecanismos). </w:t>
            </w: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5A">
            <w:pPr>
              <w:ind w:hanging="584"/>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5C">
            <w:pPr>
              <w:ind w:hanging="7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2"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E">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describa el cumplimiento y uso que se le da al número de consultas (contador de visitas) realizadas de la práctica: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incluyó en el micrositio web una sección destinada a la evaluación de satisfacción, con lo que se pretende realizar adecuaciones al micrositio para adaptarse a las necesidades de los usuarios. </w:t>
            </w:r>
          </w:p>
        </w:tc>
      </w:tr>
      <w:tr>
        <w:trPr>
          <w:cantSplit w:val="0"/>
          <w:trHeight w:val="215"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8">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hyperlink r:id="rId33">
              <w:r w:rsidDel="00000000" w:rsidR="00000000" w:rsidRPr="00000000">
                <w:rPr>
                  <w:rFonts w:ascii="Palatino Linotype" w:cs="Palatino Linotype" w:eastAsia="Palatino Linotype" w:hAnsi="Palatino Linotype"/>
                  <w:b w:val="1"/>
                  <w:color w:val="0563c1"/>
                  <w:u w:val="single"/>
                  <w:rtl w:val="0"/>
                </w:rPr>
                <w:t xml:space="preserve">https://sesespem.edomex.gob.mx/justicia-civica</w:t>
              </w:r>
            </w:hyperlink>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72">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El contador de visitas se puede observar al inicio del micrositio web de Justicia Cívica, y tiene como objetivo evaluar la calidad y claridad de la información presentada.</w:t>
            </w:r>
          </w:p>
        </w:tc>
      </w:tr>
    </w:tbl>
    <w:p w:rsidR="00000000" w:rsidDel="00000000" w:rsidP="00000000" w:rsidRDefault="00000000" w:rsidRPr="00000000" w14:paraId="0000017C">
      <w:pPr>
        <w:rPr>
          <w:rFonts w:ascii="Palatino Linotype" w:cs="Palatino Linotype" w:eastAsia="Palatino Linotype" w:hAnsi="Palatino Linotype"/>
          <w:b w:val="1"/>
        </w:rPr>
      </w:pPr>
      <w:bookmarkStart w:colFirst="0" w:colLast="0" w:name="_heading=h.30j0zll" w:id="1"/>
      <w:bookmarkEnd w:id="1"/>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D">
            <w:pPr>
              <w:ind w:left="-708" w:firstLine="0"/>
              <w:rPr>
                <w:rFonts w:ascii="Palatino Linotype" w:cs="Palatino Linotype" w:eastAsia="Palatino Linotype" w:hAnsi="Palatino Linotype"/>
                <w:b w:val="1"/>
                <w:shd w:fill="e69138" w:val="clear"/>
              </w:rPr>
            </w:pPr>
            <w:r w:rsidDel="00000000" w:rsidR="00000000" w:rsidRPr="00000000">
              <w:rPr>
                <w:rFonts w:ascii="Palatino Linotype" w:cs="Palatino Linotype" w:eastAsia="Palatino Linotype" w:hAnsi="Palatino Linotype"/>
                <w:b w:val="1"/>
                <w:rtl w:val="0"/>
              </w:rPr>
              <w:t xml:space="preserve">17. Listado de soportes documentales —y en su caso hipervínculos— que se adjuntan sobre la práctica:   </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ind w:left="-708" w:firstLine="0"/>
              <w:rPr>
                <w:rFonts w:ascii="Palatino Linotype" w:cs="Palatino Linotype" w:eastAsia="Palatino Linotype" w:hAnsi="Palatino Linotype"/>
                <w:b w:val="1"/>
                <w:highlight w:val="yellow"/>
              </w:rPr>
            </w:pPr>
            <w:r w:rsidDel="00000000" w:rsidR="00000000" w:rsidRPr="00000000">
              <w:rPr>
                <w:rFonts w:ascii="Palatino Linotype" w:cs="Palatino Linotype" w:eastAsia="Palatino Linotype" w:hAnsi="Palatino Linotype"/>
                <w:b w:val="1"/>
                <w:rtl w:val="0"/>
              </w:rPr>
              <w:t xml:space="preserve"> </w:t>
            </w:r>
            <w:hyperlink r:id="rId34">
              <w:r w:rsidDel="00000000" w:rsidR="00000000" w:rsidRPr="00000000">
                <w:rPr>
                  <w:rFonts w:ascii="Palatino Linotype" w:cs="Palatino Linotype" w:eastAsia="Palatino Linotype" w:hAnsi="Palatino Linotype"/>
                  <w:b w:val="1"/>
                  <w:color w:val="1155cc"/>
                  <w:u w:val="single"/>
                  <w:rtl w:val="0"/>
                </w:rPr>
                <w:t xml:space="preserve">https://sesespem.edomex.gob.mx/justicia-civica</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bl>
    <w:p w:rsidR="00000000" w:rsidDel="00000000" w:rsidP="00000000" w:rsidRDefault="00000000" w:rsidRPr="00000000" w14:paraId="0000017F">
      <w:pPr>
        <w:ind w:left="-708" w:firstLine="0"/>
        <w:rPr>
          <w:rFonts w:ascii="Palatino Linotype" w:cs="Palatino Linotype" w:eastAsia="Palatino Linotype" w:hAnsi="Palatino Linotype"/>
          <w:b w:val="1"/>
        </w:rPr>
      </w:pPr>
      <w:r w:rsidDel="00000000" w:rsidR="00000000" w:rsidRPr="00000000">
        <w:rPr>
          <w:rtl w:val="0"/>
        </w:rPr>
      </w:r>
    </w:p>
    <w:tbl>
      <w:tblPr>
        <w:tblStyle w:val="Table13"/>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0">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18. En caso de ser una práctica que se presente por segunda ocasión, describa la innovación con la que cuenta para este ejercicio.</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Cuenta con el apartado denominado Acciones, en el cual la ciudadanía conoce de las actividades ejercidas por este Sujeto Obligado.</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8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ind w:left="-708" w:firstLine="0"/>
              <w:rPr>
                <w:rFonts w:ascii="Palatino Linotype" w:cs="Palatino Linotype" w:eastAsia="Palatino Linotype" w:hAnsi="Palatino Linotype"/>
                <w:b w:val="1"/>
              </w:rPr>
            </w:pPr>
            <w:hyperlink r:id="rId35">
              <w:r w:rsidDel="00000000" w:rsidR="00000000" w:rsidRPr="00000000">
                <w:rPr>
                  <w:rFonts w:ascii="Palatino Linotype" w:cs="Palatino Linotype" w:eastAsia="Palatino Linotype" w:hAnsi="Palatino Linotype"/>
                  <w:b w:val="1"/>
                  <w:color w:val="1155cc"/>
                  <w:u w:val="single"/>
                  <w:rtl w:val="0"/>
                </w:rPr>
                <w:t xml:space="preserve">https://sesespem.edomex.gob.mx/justicia-civica-acciones</w:t>
              </w:r>
            </w:hyperlink>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184">
      <w:pPr>
        <w:rPr>
          <w:rFonts w:ascii="Palatino Linotype" w:cs="Palatino Linotype" w:eastAsia="Palatino Linotype" w:hAnsi="Palatino Linotype"/>
        </w:rPr>
      </w:pPr>
      <w:r w:rsidDel="00000000" w:rsidR="00000000" w:rsidRPr="00000000">
        <w:rPr>
          <w:rtl w:val="0"/>
        </w:rPr>
      </w:r>
    </w:p>
    <w:sectPr>
      <w:headerReference r:id="rId36" w:type="default"/>
      <w:footerReference r:id="rId37" w:type="default"/>
      <w:pgSz w:h="15840" w:w="12240" w:orient="portrait"/>
      <w:pgMar w:bottom="1560" w:top="2552"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-1038222</wp:posOffset>
          </wp:positionH>
          <wp:positionV relativeFrom="paragraph">
            <wp:posOffset>-438147</wp:posOffset>
          </wp:positionV>
          <wp:extent cx="7762875" cy="10023158"/>
          <wp:effectExtent b="0" l="0" r="0" t="0"/>
          <wp:wrapNone/>
          <wp:docPr id="40673925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762875" cy="100231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95" w:hanging="360"/>
      </w:pPr>
      <w:rPr>
        <w:rFonts w:ascii="Noto Sans Symbols" w:cs="Noto Sans Symbols" w:eastAsia="Noto Sans Symbols" w:hAnsi="Noto Sans Symbols"/>
      </w:rPr>
    </w:lvl>
    <w:lvl w:ilvl="1">
      <w:start w:val="1"/>
      <w:numFmt w:val="bullet"/>
      <w:lvlText w:val="o"/>
      <w:lvlJc w:val="left"/>
      <w:pPr>
        <w:ind w:left="1015" w:hanging="360"/>
      </w:pPr>
      <w:rPr>
        <w:rFonts w:ascii="Courier New" w:cs="Courier New" w:eastAsia="Courier New" w:hAnsi="Courier New"/>
      </w:rPr>
    </w:lvl>
    <w:lvl w:ilvl="2">
      <w:start w:val="1"/>
      <w:numFmt w:val="bullet"/>
      <w:lvlText w:val="▪"/>
      <w:lvlJc w:val="left"/>
      <w:pPr>
        <w:ind w:left="1735" w:hanging="360"/>
      </w:pPr>
      <w:rPr>
        <w:rFonts w:ascii="Noto Sans Symbols" w:cs="Noto Sans Symbols" w:eastAsia="Noto Sans Symbols" w:hAnsi="Noto Sans Symbols"/>
      </w:rPr>
    </w:lvl>
    <w:lvl w:ilvl="3">
      <w:start w:val="1"/>
      <w:numFmt w:val="bullet"/>
      <w:lvlText w:val="●"/>
      <w:lvlJc w:val="left"/>
      <w:pPr>
        <w:ind w:left="2455" w:hanging="360"/>
      </w:pPr>
      <w:rPr>
        <w:rFonts w:ascii="Noto Sans Symbols" w:cs="Noto Sans Symbols" w:eastAsia="Noto Sans Symbols" w:hAnsi="Noto Sans Symbols"/>
      </w:rPr>
    </w:lvl>
    <w:lvl w:ilvl="4">
      <w:start w:val="1"/>
      <w:numFmt w:val="bullet"/>
      <w:lvlText w:val="o"/>
      <w:lvlJc w:val="left"/>
      <w:pPr>
        <w:ind w:left="3175" w:hanging="360"/>
      </w:pPr>
      <w:rPr>
        <w:rFonts w:ascii="Courier New" w:cs="Courier New" w:eastAsia="Courier New" w:hAnsi="Courier New"/>
      </w:rPr>
    </w:lvl>
    <w:lvl w:ilvl="5">
      <w:start w:val="1"/>
      <w:numFmt w:val="bullet"/>
      <w:lvlText w:val="▪"/>
      <w:lvlJc w:val="left"/>
      <w:pPr>
        <w:ind w:left="3895" w:hanging="360"/>
      </w:pPr>
      <w:rPr>
        <w:rFonts w:ascii="Noto Sans Symbols" w:cs="Noto Sans Symbols" w:eastAsia="Noto Sans Symbols" w:hAnsi="Noto Sans Symbols"/>
      </w:rPr>
    </w:lvl>
    <w:lvl w:ilvl="6">
      <w:start w:val="1"/>
      <w:numFmt w:val="bullet"/>
      <w:lvlText w:val="●"/>
      <w:lvlJc w:val="left"/>
      <w:pPr>
        <w:ind w:left="4615" w:hanging="360"/>
      </w:pPr>
      <w:rPr>
        <w:rFonts w:ascii="Noto Sans Symbols" w:cs="Noto Sans Symbols" w:eastAsia="Noto Sans Symbols" w:hAnsi="Noto Sans Symbols"/>
      </w:rPr>
    </w:lvl>
    <w:lvl w:ilvl="7">
      <w:start w:val="1"/>
      <w:numFmt w:val="bullet"/>
      <w:lvlText w:val="o"/>
      <w:lvlJc w:val="left"/>
      <w:pPr>
        <w:ind w:left="5335" w:hanging="360"/>
      </w:pPr>
      <w:rPr>
        <w:rFonts w:ascii="Courier New" w:cs="Courier New" w:eastAsia="Courier New" w:hAnsi="Courier New"/>
      </w:rPr>
    </w:lvl>
    <w:lvl w:ilvl="8">
      <w:start w:val="1"/>
      <w:numFmt w:val="bullet"/>
      <w:lvlText w:val="▪"/>
      <w:lvlJc w:val="left"/>
      <w:pPr>
        <w:ind w:left="6055" w:hanging="360"/>
      </w:pPr>
      <w:rPr>
        <w:rFonts w:ascii="Noto Sans Symbols" w:cs="Noto Sans Symbols" w:eastAsia="Noto Sans Symbols" w:hAnsi="Noto Sans Symbols"/>
      </w:rPr>
    </w:lvl>
  </w:abstractNum>
  <w:abstractNum w:abstractNumId="2">
    <w:lvl w:ilvl="0">
      <w:start w:val="1"/>
      <w:numFmt w:val="bullet"/>
      <w:lvlText w:val="⮚"/>
      <w:lvlJc w:val="left"/>
      <w:pPr>
        <w:ind w:left="295" w:hanging="360"/>
      </w:pPr>
      <w:rPr>
        <w:rFonts w:ascii="Noto Sans Symbols" w:cs="Noto Sans Symbols" w:eastAsia="Noto Sans Symbols" w:hAnsi="Noto Sans Symbols"/>
      </w:rPr>
    </w:lvl>
    <w:lvl w:ilvl="1">
      <w:start w:val="1"/>
      <w:numFmt w:val="bullet"/>
      <w:lvlText w:val="o"/>
      <w:lvlJc w:val="left"/>
      <w:pPr>
        <w:ind w:left="1015" w:hanging="360"/>
      </w:pPr>
      <w:rPr>
        <w:rFonts w:ascii="Courier New" w:cs="Courier New" w:eastAsia="Courier New" w:hAnsi="Courier New"/>
      </w:rPr>
    </w:lvl>
    <w:lvl w:ilvl="2">
      <w:start w:val="1"/>
      <w:numFmt w:val="bullet"/>
      <w:lvlText w:val="▪"/>
      <w:lvlJc w:val="left"/>
      <w:pPr>
        <w:ind w:left="1735" w:hanging="360"/>
      </w:pPr>
      <w:rPr>
        <w:rFonts w:ascii="Noto Sans Symbols" w:cs="Noto Sans Symbols" w:eastAsia="Noto Sans Symbols" w:hAnsi="Noto Sans Symbols"/>
      </w:rPr>
    </w:lvl>
    <w:lvl w:ilvl="3">
      <w:start w:val="1"/>
      <w:numFmt w:val="bullet"/>
      <w:lvlText w:val="●"/>
      <w:lvlJc w:val="left"/>
      <w:pPr>
        <w:ind w:left="2455" w:hanging="360"/>
      </w:pPr>
      <w:rPr>
        <w:rFonts w:ascii="Noto Sans Symbols" w:cs="Noto Sans Symbols" w:eastAsia="Noto Sans Symbols" w:hAnsi="Noto Sans Symbols"/>
      </w:rPr>
    </w:lvl>
    <w:lvl w:ilvl="4">
      <w:start w:val="1"/>
      <w:numFmt w:val="bullet"/>
      <w:lvlText w:val="o"/>
      <w:lvlJc w:val="left"/>
      <w:pPr>
        <w:ind w:left="3175" w:hanging="360"/>
      </w:pPr>
      <w:rPr>
        <w:rFonts w:ascii="Courier New" w:cs="Courier New" w:eastAsia="Courier New" w:hAnsi="Courier New"/>
      </w:rPr>
    </w:lvl>
    <w:lvl w:ilvl="5">
      <w:start w:val="1"/>
      <w:numFmt w:val="bullet"/>
      <w:lvlText w:val="▪"/>
      <w:lvlJc w:val="left"/>
      <w:pPr>
        <w:ind w:left="3895" w:hanging="360"/>
      </w:pPr>
      <w:rPr>
        <w:rFonts w:ascii="Noto Sans Symbols" w:cs="Noto Sans Symbols" w:eastAsia="Noto Sans Symbols" w:hAnsi="Noto Sans Symbols"/>
      </w:rPr>
    </w:lvl>
    <w:lvl w:ilvl="6">
      <w:start w:val="1"/>
      <w:numFmt w:val="bullet"/>
      <w:lvlText w:val="●"/>
      <w:lvlJc w:val="left"/>
      <w:pPr>
        <w:ind w:left="4615" w:hanging="360"/>
      </w:pPr>
      <w:rPr>
        <w:rFonts w:ascii="Noto Sans Symbols" w:cs="Noto Sans Symbols" w:eastAsia="Noto Sans Symbols" w:hAnsi="Noto Sans Symbols"/>
      </w:rPr>
    </w:lvl>
    <w:lvl w:ilvl="7">
      <w:start w:val="1"/>
      <w:numFmt w:val="bullet"/>
      <w:lvlText w:val="o"/>
      <w:lvlJc w:val="left"/>
      <w:pPr>
        <w:ind w:left="5335" w:hanging="360"/>
      </w:pPr>
      <w:rPr>
        <w:rFonts w:ascii="Courier New" w:cs="Courier New" w:eastAsia="Courier New" w:hAnsi="Courier New"/>
      </w:rPr>
    </w:lvl>
    <w:lvl w:ilvl="8">
      <w:start w:val="1"/>
      <w:numFmt w:val="bullet"/>
      <w:lvlText w:val="▪"/>
      <w:lvlJc w:val="left"/>
      <w:pPr>
        <w:ind w:left="6055" w:hanging="360"/>
      </w:pPr>
      <w:rPr>
        <w:rFonts w:ascii="Noto Sans Symbols" w:cs="Noto Sans Symbols" w:eastAsia="Noto Sans Symbols" w:hAnsi="Noto Sans Symbols"/>
      </w:rPr>
    </w:lvl>
  </w:abstractNum>
  <w:abstractNum w:abstractNumId="3">
    <w:lvl w:ilvl="0">
      <w:start w:val="1"/>
      <w:numFmt w:val="bullet"/>
      <w:lvlText w:val="●"/>
      <w:lvlJc w:val="left"/>
      <w:pPr>
        <w:ind w:left="295" w:hanging="360"/>
      </w:pPr>
      <w:rPr>
        <w:rFonts w:ascii="Noto Sans Symbols" w:cs="Noto Sans Symbols" w:eastAsia="Noto Sans Symbols" w:hAnsi="Noto Sans Symbols"/>
      </w:rPr>
    </w:lvl>
    <w:lvl w:ilvl="1">
      <w:start w:val="1"/>
      <w:numFmt w:val="bullet"/>
      <w:lvlText w:val="o"/>
      <w:lvlJc w:val="left"/>
      <w:pPr>
        <w:ind w:left="1015" w:hanging="360"/>
      </w:pPr>
      <w:rPr>
        <w:rFonts w:ascii="Courier New" w:cs="Courier New" w:eastAsia="Courier New" w:hAnsi="Courier New"/>
      </w:rPr>
    </w:lvl>
    <w:lvl w:ilvl="2">
      <w:start w:val="1"/>
      <w:numFmt w:val="bullet"/>
      <w:lvlText w:val="▪"/>
      <w:lvlJc w:val="left"/>
      <w:pPr>
        <w:ind w:left="1735" w:hanging="360"/>
      </w:pPr>
      <w:rPr>
        <w:rFonts w:ascii="Noto Sans Symbols" w:cs="Noto Sans Symbols" w:eastAsia="Noto Sans Symbols" w:hAnsi="Noto Sans Symbols"/>
      </w:rPr>
    </w:lvl>
    <w:lvl w:ilvl="3">
      <w:start w:val="1"/>
      <w:numFmt w:val="bullet"/>
      <w:lvlText w:val="●"/>
      <w:lvlJc w:val="left"/>
      <w:pPr>
        <w:ind w:left="2455" w:hanging="360"/>
      </w:pPr>
      <w:rPr>
        <w:rFonts w:ascii="Noto Sans Symbols" w:cs="Noto Sans Symbols" w:eastAsia="Noto Sans Symbols" w:hAnsi="Noto Sans Symbols"/>
      </w:rPr>
    </w:lvl>
    <w:lvl w:ilvl="4">
      <w:start w:val="1"/>
      <w:numFmt w:val="bullet"/>
      <w:lvlText w:val="o"/>
      <w:lvlJc w:val="left"/>
      <w:pPr>
        <w:ind w:left="3175" w:hanging="360"/>
      </w:pPr>
      <w:rPr>
        <w:rFonts w:ascii="Courier New" w:cs="Courier New" w:eastAsia="Courier New" w:hAnsi="Courier New"/>
      </w:rPr>
    </w:lvl>
    <w:lvl w:ilvl="5">
      <w:start w:val="1"/>
      <w:numFmt w:val="bullet"/>
      <w:lvlText w:val="▪"/>
      <w:lvlJc w:val="left"/>
      <w:pPr>
        <w:ind w:left="3895" w:hanging="360"/>
      </w:pPr>
      <w:rPr>
        <w:rFonts w:ascii="Noto Sans Symbols" w:cs="Noto Sans Symbols" w:eastAsia="Noto Sans Symbols" w:hAnsi="Noto Sans Symbols"/>
      </w:rPr>
    </w:lvl>
    <w:lvl w:ilvl="6">
      <w:start w:val="1"/>
      <w:numFmt w:val="bullet"/>
      <w:lvlText w:val="●"/>
      <w:lvlJc w:val="left"/>
      <w:pPr>
        <w:ind w:left="4615" w:hanging="360"/>
      </w:pPr>
      <w:rPr>
        <w:rFonts w:ascii="Noto Sans Symbols" w:cs="Noto Sans Symbols" w:eastAsia="Noto Sans Symbols" w:hAnsi="Noto Sans Symbols"/>
      </w:rPr>
    </w:lvl>
    <w:lvl w:ilvl="7">
      <w:start w:val="1"/>
      <w:numFmt w:val="bullet"/>
      <w:lvlText w:val="o"/>
      <w:lvlJc w:val="left"/>
      <w:pPr>
        <w:ind w:left="5335" w:hanging="360"/>
      </w:pPr>
      <w:rPr>
        <w:rFonts w:ascii="Courier New" w:cs="Courier New" w:eastAsia="Courier New" w:hAnsi="Courier New"/>
      </w:rPr>
    </w:lvl>
    <w:lvl w:ilvl="8">
      <w:start w:val="1"/>
      <w:numFmt w:val="bullet"/>
      <w:lvlText w:val="▪"/>
      <w:lvlJc w:val="left"/>
      <w:pPr>
        <w:ind w:left="6055"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c"/>
    <w:tblPr>
      <w:tblStyleRowBandSize w:val="1"/>
      <w:tblStyleColBandSize w:val="1"/>
      <w:tblCellMar>
        <w:top w:w="41.0" w:type="dxa"/>
        <w:left w:w="106.0" w:type="dxa"/>
        <w:right w:w="67.0" w:type="dxa"/>
      </w:tblCellMar>
    </w:tblPr>
  </w:style>
  <w:style w:type="table" w:styleId="a0" w:customStyle="1">
    <w:basedOn w:val="TableNormalc"/>
    <w:tblPr>
      <w:tblStyleRowBandSize w:val="1"/>
      <w:tblStyleColBandSize w:val="1"/>
      <w:tblCellMar>
        <w:top w:w="41.0" w:type="dxa"/>
        <w:left w:w="107.0" w:type="dxa"/>
        <w:right w:w="73.0" w:type="dxa"/>
      </w:tblCellMar>
    </w:tblPr>
  </w:style>
  <w:style w:type="table" w:styleId="a1" w:customStyle="1">
    <w:basedOn w:val="TableNormalc"/>
    <w:tblPr>
      <w:tblStyleRowBandSize w:val="1"/>
      <w:tblStyleColBandSize w:val="1"/>
      <w:tblCellMar>
        <w:top w:w="41.0" w:type="dxa"/>
        <w:right w:w="60.0" w:type="dxa"/>
      </w:tblCellMar>
    </w:tblPr>
  </w:style>
  <w:style w:type="table" w:styleId="a2" w:customStyle="1">
    <w:basedOn w:val="TableNormalc"/>
    <w:tblPr>
      <w:tblStyleRowBandSize w:val="1"/>
      <w:tblStyleColBandSize w:val="1"/>
      <w:tblCellMar>
        <w:top w:w="41.0" w:type="dxa"/>
        <w:right w:w="62.0" w:type="dxa"/>
      </w:tblCellMar>
    </w:tblPr>
  </w:style>
  <w:style w:type="table" w:styleId="a3" w:customStyle="1">
    <w:basedOn w:val="TableNormalc"/>
    <w:tblPr>
      <w:tblStyleRowBandSize w:val="1"/>
      <w:tblStyleColBandSize w:val="1"/>
      <w:tblCellMar>
        <w:top w:w="41.0" w:type="dxa"/>
        <w:left w:w="107.0" w:type="dxa"/>
        <w:right w:w="70.0" w:type="dxa"/>
      </w:tblCellMar>
    </w:tblPr>
  </w:style>
  <w:style w:type="table" w:styleId="a4" w:customStyle="1">
    <w:basedOn w:val="TableNormalc"/>
    <w:tblPr>
      <w:tblStyleRowBandSize w:val="1"/>
      <w:tblStyleColBandSize w:val="1"/>
      <w:tblCellMar>
        <w:top w:w="40.0" w:type="dxa"/>
        <w:right w:w="26.0" w:type="dxa"/>
      </w:tblCellMar>
    </w:tblPr>
  </w:style>
  <w:style w:type="table" w:styleId="a5" w:customStyle="1">
    <w:basedOn w:val="TableNormalc"/>
    <w:tblPr>
      <w:tblStyleRowBandSize w:val="1"/>
      <w:tblStyleColBandSize w:val="1"/>
      <w:tblCellMar>
        <w:top w:w="41.0" w:type="dxa"/>
        <w:left w:w="107.0" w:type="dxa"/>
        <w:right w:w="71.0" w:type="dxa"/>
      </w:tblCellMar>
    </w:tblPr>
  </w:style>
  <w:style w:type="table" w:styleId="a6" w:customStyle="1">
    <w:basedOn w:val="TableNormalc"/>
    <w:tblPr>
      <w:tblStyleRowBandSize w:val="1"/>
      <w:tblStyleColBandSize w:val="1"/>
      <w:tblCellMar>
        <w:top w:w="40.0" w:type="dxa"/>
        <w:right w:w="12.0" w:type="dxa"/>
      </w:tblCellMar>
    </w:tblPr>
  </w:style>
  <w:style w:type="table" w:styleId="a7" w:customStyle="1">
    <w:basedOn w:val="TableNormalc"/>
    <w:tblPr>
      <w:tblStyleRowBandSize w:val="1"/>
      <w:tblStyleColBandSize w:val="1"/>
      <w:tblCellMar>
        <w:top w:w="41.0" w:type="dxa"/>
        <w:left w:w="107.0" w:type="dxa"/>
        <w:right w:w="69.0" w:type="dxa"/>
      </w:tblCellMar>
    </w:tblPr>
  </w:style>
  <w:style w:type="table" w:styleId="a8" w:customStyle="1">
    <w:basedOn w:val="TableNormalc"/>
    <w:tblPr>
      <w:tblStyleRowBandSize w:val="1"/>
      <w:tblStyleColBandSize w:val="1"/>
      <w:tblCellMar>
        <w:top w:w="41.0" w:type="dxa"/>
        <w:left w:w="107.0" w:type="dxa"/>
        <w:right w:w="70.0" w:type="dxa"/>
      </w:tblCellMar>
    </w:tblPr>
  </w:style>
  <w:style w:type="table" w:styleId="a9" w:customStyle="1">
    <w:basedOn w:val="TableNormalc"/>
    <w:tblPr>
      <w:tblStyleRowBandSize w:val="1"/>
      <w:tblStyleColBandSize w:val="1"/>
      <w:tblCellMar>
        <w:top w:w="41.0" w:type="dxa"/>
        <w:left w:w="107.0" w:type="dxa"/>
        <w:right w:w="67.0" w:type="dxa"/>
      </w:tblCellMar>
    </w:tblPr>
  </w:style>
  <w:style w:type="table" w:styleId="aa" w:customStyle="1">
    <w:basedOn w:val="TableNormalc"/>
    <w:tblPr>
      <w:tblStyleRowBandSize w:val="1"/>
      <w:tblStyleColBandSize w:val="1"/>
      <w:tblCellMar>
        <w:top w:w="41.0" w:type="dxa"/>
        <w:left w:w="107.0" w:type="dxa"/>
        <w:right w:w="70.0" w:type="dxa"/>
      </w:tblCellMar>
    </w:tblPr>
  </w:style>
  <w:style w:type="table" w:styleId="ab" w:customStyle="1">
    <w:basedOn w:val="TableNormalc"/>
    <w:tblPr>
      <w:tblStyleRowBandSize w:val="1"/>
      <w:tblStyleColBandSize w:val="1"/>
      <w:tblCellMar>
        <w:top w:w="41.0" w:type="dxa"/>
        <w:left w:w="107.0" w:type="dxa"/>
        <w:right w:w="71.0" w:type="dxa"/>
      </w:tblCellMar>
    </w:tblPr>
  </w:style>
  <w:style w:type="table" w:styleId="ac" w:customStyle="1">
    <w:basedOn w:val="TableNormalc"/>
    <w:tblPr>
      <w:tblStyleRowBandSize w:val="1"/>
      <w:tblStyleColBandSize w:val="1"/>
      <w:tblCellMar>
        <w:top w:w="41.0" w:type="dxa"/>
        <w:left w:w="827.0" w:type="dxa"/>
        <w:right w:w="115.0" w:type="dxa"/>
      </w:tblCellMar>
    </w:tblPr>
  </w:style>
  <w:style w:type="table" w:styleId="ad" w:customStyle="1">
    <w:basedOn w:val="TableNormalc"/>
    <w:tblPr>
      <w:tblStyleRowBandSize w:val="1"/>
      <w:tblStyleColBandSize w:val="1"/>
      <w:tblCellMar>
        <w:top w:w="41.0" w:type="dxa"/>
        <w:left w:w="827.0" w:type="dxa"/>
        <w:right w:w="115.0" w:type="dxa"/>
      </w:tblCellMar>
    </w:tblPr>
  </w:style>
  <w:style w:type="table" w:styleId="ae" w:customStyle="1">
    <w:basedOn w:val="TableNormalc"/>
    <w:tblPr>
      <w:tblStyleRowBandSize w:val="1"/>
      <w:tblStyleColBandSize w:val="1"/>
      <w:tblCellMar>
        <w:top w:w="41.0" w:type="dxa"/>
        <w:left w:w="827.0" w:type="dxa"/>
        <w:right w:w="115.0" w:type="dxa"/>
      </w:tblCellMar>
    </w:tblPr>
  </w:style>
  <w:style w:type="table" w:styleId="af" w:customStyle="1">
    <w:basedOn w:val="TableNormalc"/>
    <w:tblPr>
      <w:tblStyleRowBandSize w:val="1"/>
      <w:tblStyleColBandSize w:val="1"/>
      <w:tblCellMar>
        <w:top w:w="41.0" w:type="dxa"/>
        <w:left w:w="827.0" w:type="dxa"/>
        <w:right w:w="115.0" w:type="dxa"/>
      </w:tblCellMar>
    </w:tblPr>
  </w:style>
  <w:style w:type="table" w:styleId="af0" w:customStyle="1">
    <w:basedOn w:val="TableNormalc"/>
    <w:tblPr>
      <w:tblStyleRowBandSize w:val="1"/>
      <w:tblStyleColBandSize w:val="1"/>
      <w:tblCellMar>
        <w:top w:w="41.0" w:type="dxa"/>
        <w:left w:w="827.0" w:type="dxa"/>
        <w:right w:w="115.0" w:type="dxa"/>
      </w:tblCellMar>
    </w:tblPr>
  </w:style>
  <w:style w:type="table" w:styleId="af1" w:customStyle="1">
    <w:basedOn w:val="TableNormalc"/>
    <w:tblPr>
      <w:tblStyleRowBandSize w:val="1"/>
      <w:tblStyleColBandSize w:val="1"/>
      <w:tblCellMar>
        <w:top w:w="41.0" w:type="dxa"/>
        <w:left w:w="827.0" w:type="dxa"/>
        <w:right w:w="115.0" w:type="dxa"/>
      </w:tblCellMar>
    </w:tblPr>
  </w:style>
  <w:style w:type="table" w:styleId="af2" w:customStyle="1">
    <w:basedOn w:val="TableNormalc"/>
    <w:tblPr>
      <w:tblStyleRowBandSize w:val="1"/>
      <w:tblStyleColBandSize w:val="1"/>
      <w:tblCellMar>
        <w:top w:w="41.0" w:type="dxa"/>
        <w:left w:w="827.0" w:type="dxa"/>
        <w:right w:w="115.0" w:type="dxa"/>
      </w:tblCellMar>
    </w:tblPr>
  </w:style>
  <w:style w:type="table" w:styleId="af3" w:customStyle="1">
    <w:basedOn w:val="TableNormalc"/>
    <w:tblPr>
      <w:tblStyleRowBandSize w:val="1"/>
      <w:tblStyleColBandSize w:val="1"/>
      <w:tblCellMar>
        <w:top w:w="41.0" w:type="dxa"/>
        <w:left w:w="827.0" w:type="dxa"/>
        <w:right w:w="115.0" w:type="dxa"/>
      </w:tblCellMar>
    </w:tblPr>
  </w:style>
  <w:style w:type="table" w:styleId="af4" w:customStyle="1">
    <w:basedOn w:val="TableNormalc"/>
    <w:tblPr>
      <w:tblStyleRowBandSize w:val="1"/>
      <w:tblStyleColBandSize w:val="1"/>
      <w:tblCellMar>
        <w:top w:w="41.0" w:type="dxa"/>
        <w:left w:w="827.0" w:type="dxa"/>
        <w:right w:w="115.0" w:type="dxa"/>
      </w:tblCellMar>
    </w:tblPr>
  </w:style>
  <w:style w:type="table" w:styleId="af5" w:customStyle="1">
    <w:basedOn w:val="TableNormalc"/>
    <w:tblPr>
      <w:tblStyleRowBandSize w:val="1"/>
      <w:tblStyleColBandSize w:val="1"/>
      <w:tblCellMar>
        <w:top w:w="41.0" w:type="dxa"/>
        <w:left w:w="827.0" w:type="dxa"/>
        <w:right w:w="115.0" w:type="dxa"/>
      </w:tblCellMar>
    </w:tblPr>
  </w:style>
  <w:style w:type="table" w:styleId="af6" w:customStyle="1">
    <w:basedOn w:val="TableNormalc"/>
    <w:tblPr>
      <w:tblStyleRowBandSize w:val="1"/>
      <w:tblStyleColBandSize w:val="1"/>
      <w:tblCellMar>
        <w:top w:w="41.0" w:type="dxa"/>
        <w:left w:w="827.0" w:type="dxa"/>
        <w:right w:w="115.0" w:type="dxa"/>
      </w:tblCellMar>
    </w:tblPr>
  </w:style>
  <w:style w:type="table" w:styleId="af7" w:customStyle="1">
    <w:basedOn w:val="TableNormalc"/>
    <w:tblPr>
      <w:tblStyleRowBandSize w:val="1"/>
      <w:tblStyleColBandSize w:val="1"/>
      <w:tblCellMar>
        <w:top w:w="41.0" w:type="dxa"/>
        <w:left w:w="827.0" w:type="dxa"/>
        <w:right w:w="115.0" w:type="dxa"/>
      </w:tblCellMar>
    </w:tblPr>
  </w:style>
  <w:style w:type="table" w:styleId="af8" w:customStyle="1">
    <w:basedOn w:val="TableNormalc"/>
    <w:tblPr>
      <w:tblStyleRowBandSize w:val="1"/>
      <w:tblStyleColBandSize w:val="1"/>
      <w:tblCellMar>
        <w:top w:w="41.0" w:type="dxa"/>
        <w:left w:w="827.0" w:type="dxa"/>
        <w:right w:w="115.0" w:type="dxa"/>
      </w:tblCellMar>
    </w:tblPr>
  </w:style>
  <w:style w:type="table" w:styleId="af9" w:customStyle="1">
    <w:basedOn w:val="TableNormalc"/>
    <w:tblPr>
      <w:tblStyleRowBandSize w:val="1"/>
      <w:tblStyleColBandSize w:val="1"/>
      <w:tblCellMar>
        <w:top w:w="41.0" w:type="dxa"/>
        <w:left w:w="827.0" w:type="dxa"/>
        <w:right w:w="115.0" w:type="dxa"/>
      </w:tblCellMar>
    </w:tblPr>
  </w:style>
  <w:style w:type="table" w:styleId="afa" w:customStyle="1">
    <w:basedOn w:val="TableNormalc"/>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b"/>
    <w:tblPr>
      <w:tblStyleRowBandSize w:val="1"/>
      <w:tblStyleColBandSize w:val="1"/>
      <w:tblCellMar>
        <w:top w:w="41.0" w:type="dxa"/>
        <w:left w:w="827.0" w:type="dxa"/>
        <w:right w:w="115.0" w:type="dxa"/>
      </w:tblCellMar>
    </w:tblPr>
  </w:style>
  <w:style w:type="table" w:styleId="afc" w:customStyle="1">
    <w:basedOn w:val="TableNormalb"/>
    <w:tblPr>
      <w:tblStyleRowBandSize w:val="1"/>
      <w:tblStyleColBandSize w:val="1"/>
      <w:tblCellMar>
        <w:top w:w="41.0" w:type="dxa"/>
        <w:left w:w="827.0" w:type="dxa"/>
        <w:right w:w="115.0" w:type="dxa"/>
      </w:tblCellMar>
    </w:tblPr>
  </w:style>
  <w:style w:type="table" w:styleId="afd" w:customStyle="1">
    <w:basedOn w:val="TableNormalb"/>
    <w:tblPr>
      <w:tblStyleRowBandSize w:val="1"/>
      <w:tblStyleColBandSize w:val="1"/>
      <w:tblCellMar>
        <w:top w:w="41.0" w:type="dxa"/>
        <w:left w:w="827.0" w:type="dxa"/>
        <w:right w:w="115.0" w:type="dxa"/>
      </w:tblCellMar>
    </w:tblPr>
  </w:style>
  <w:style w:type="table" w:styleId="afe" w:customStyle="1">
    <w:basedOn w:val="TableNormalb"/>
    <w:tblPr>
      <w:tblStyleRowBandSize w:val="1"/>
      <w:tblStyleColBandSize w:val="1"/>
      <w:tblCellMar>
        <w:top w:w="41.0" w:type="dxa"/>
        <w:left w:w="827.0" w:type="dxa"/>
        <w:right w:w="115.0" w:type="dxa"/>
      </w:tblCellMar>
    </w:tblPr>
  </w:style>
  <w:style w:type="table" w:styleId="aff" w:customStyle="1">
    <w:basedOn w:val="TableNormalb"/>
    <w:tblPr>
      <w:tblStyleRowBandSize w:val="1"/>
      <w:tblStyleColBandSize w:val="1"/>
      <w:tblCellMar>
        <w:top w:w="41.0" w:type="dxa"/>
        <w:left w:w="827.0" w:type="dxa"/>
        <w:right w:w="115.0" w:type="dxa"/>
      </w:tblCellMar>
    </w:tblPr>
  </w:style>
  <w:style w:type="table" w:styleId="aff0" w:customStyle="1">
    <w:basedOn w:val="TableNormalb"/>
    <w:tblPr>
      <w:tblStyleRowBandSize w:val="1"/>
      <w:tblStyleColBandSize w:val="1"/>
      <w:tblCellMar>
        <w:top w:w="41.0" w:type="dxa"/>
        <w:left w:w="827.0" w:type="dxa"/>
        <w:right w:w="115.0" w:type="dxa"/>
      </w:tblCellMar>
    </w:tblPr>
  </w:style>
  <w:style w:type="table" w:styleId="aff1" w:customStyle="1">
    <w:basedOn w:val="TableNormalb"/>
    <w:tblPr>
      <w:tblStyleRowBandSize w:val="1"/>
      <w:tblStyleColBandSize w:val="1"/>
      <w:tblCellMar>
        <w:top w:w="41.0" w:type="dxa"/>
        <w:left w:w="827.0" w:type="dxa"/>
        <w:right w:w="115.0" w:type="dxa"/>
      </w:tblCellMar>
    </w:tblPr>
  </w:style>
  <w:style w:type="table" w:styleId="aff2" w:customStyle="1">
    <w:basedOn w:val="TableNormalb"/>
    <w:tblPr>
      <w:tblStyleRowBandSize w:val="1"/>
      <w:tblStyleColBandSize w:val="1"/>
      <w:tblCellMar>
        <w:top w:w="41.0" w:type="dxa"/>
        <w:left w:w="827.0" w:type="dxa"/>
        <w:right w:w="115.0" w:type="dxa"/>
      </w:tblCellMar>
    </w:tblPr>
  </w:style>
  <w:style w:type="table" w:styleId="aff3" w:customStyle="1">
    <w:basedOn w:val="TableNormalb"/>
    <w:tblPr>
      <w:tblStyleRowBandSize w:val="1"/>
      <w:tblStyleColBandSize w:val="1"/>
      <w:tblCellMar>
        <w:top w:w="41.0" w:type="dxa"/>
        <w:left w:w="827.0" w:type="dxa"/>
        <w:right w:w="115.0" w:type="dxa"/>
      </w:tblCellMar>
    </w:tblPr>
  </w:style>
  <w:style w:type="table" w:styleId="aff4" w:customStyle="1">
    <w:basedOn w:val="TableNormalb"/>
    <w:tblPr>
      <w:tblStyleRowBandSize w:val="1"/>
      <w:tblStyleColBandSize w:val="1"/>
      <w:tblCellMar>
        <w:top w:w="41.0" w:type="dxa"/>
        <w:left w:w="827.0" w:type="dxa"/>
        <w:right w:w="115.0" w:type="dxa"/>
      </w:tblCellMar>
    </w:tblPr>
  </w:style>
  <w:style w:type="table" w:styleId="aff5" w:customStyle="1">
    <w:basedOn w:val="TableNormalb"/>
    <w:tblPr>
      <w:tblStyleRowBandSize w:val="1"/>
      <w:tblStyleColBandSize w:val="1"/>
      <w:tblCellMar>
        <w:top w:w="41.0" w:type="dxa"/>
        <w:left w:w="827.0" w:type="dxa"/>
        <w:right w:w="115.0" w:type="dxa"/>
      </w:tblCellMar>
    </w:tblPr>
  </w:style>
  <w:style w:type="table" w:styleId="aff6" w:customStyle="1">
    <w:basedOn w:val="TableNormalb"/>
    <w:tblPr>
      <w:tblStyleRowBandSize w:val="1"/>
      <w:tblStyleColBandSize w:val="1"/>
      <w:tblCellMar>
        <w:top w:w="41.0" w:type="dxa"/>
        <w:left w:w="827.0" w:type="dxa"/>
        <w:right w:w="115.0" w:type="dxa"/>
      </w:tblCellMar>
    </w:tblPr>
  </w:style>
  <w:style w:type="table" w:styleId="aff7" w:customStyle="1">
    <w:basedOn w:val="TableNormalb"/>
    <w:tblPr>
      <w:tblStyleRowBandSize w:val="1"/>
      <w:tblStyleColBandSize w:val="1"/>
      <w:tblCellMar>
        <w:top w:w="41.0" w:type="dxa"/>
        <w:left w:w="827.0" w:type="dxa"/>
        <w:right w:w="115.0" w:type="dxa"/>
      </w:tblCellMar>
    </w:tblPr>
  </w:style>
  <w:style w:type="table" w:styleId="aff8" w:customStyle="1">
    <w:basedOn w:val="TableNormalb"/>
    <w:tblPr>
      <w:tblStyleRowBandSize w:val="1"/>
      <w:tblStyleColBandSize w:val="1"/>
      <w:tblCellMar>
        <w:top w:w="41.0" w:type="dxa"/>
        <w:left w:w="827.0" w:type="dxa"/>
        <w:right w:w="115.0" w:type="dxa"/>
      </w:tblCellMar>
    </w:tblPr>
  </w:style>
  <w:style w:type="table" w:styleId="aff9" w:customStyle="1">
    <w:basedOn w:val="TableNormalb"/>
    <w:tblPr>
      <w:tblStyleRowBandSize w:val="1"/>
      <w:tblStyleColBandSize w:val="1"/>
      <w:tblCellMar>
        <w:top w:w="41.0" w:type="dxa"/>
        <w:left w:w="827.0" w:type="dxa"/>
        <w:right w:w="115.0" w:type="dxa"/>
      </w:tblCellMar>
    </w:tblPr>
  </w:style>
  <w:style w:type="table" w:styleId="affa" w:customStyle="1">
    <w:basedOn w:val="TableNormalb"/>
    <w:tblPr>
      <w:tblStyleRowBandSize w:val="1"/>
      <w:tblStyleColBandSize w:val="1"/>
      <w:tblCellMar>
        <w:top w:w="41.0" w:type="dxa"/>
        <w:left w:w="827.0" w:type="dxa"/>
        <w:right w:w="115.0" w:type="dxa"/>
      </w:tblCellMar>
    </w:tblPr>
  </w:style>
  <w:style w:type="table" w:styleId="affb" w:customStyle="1">
    <w:basedOn w:val="TableNormalb"/>
    <w:tblPr>
      <w:tblStyleRowBandSize w:val="1"/>
      <w:tblStyleColBandSize w:val="1"/>
      <w:tblCellMar>
        <w:top w:w="41.0" w:type="dxa"/>
        <w:left w:w="827.0" w:type="dxa"/>
        <w:right w:w="115.0" w:type="dxa"/>
      </w:tblCellMar>
    </w:tblPr>
  </w:style>
  <w:style w:type="table" w:styleId="affc" w:customStyle="1">
    <w:basedOn w:val="TableNormalb"/>
    <w:tblPr>
      <w:tblStyleRowBandSize w:val="1"/>
      <w:tblStyleColBandSize w:val="1"/>
      <w:tblCellMar>
        <w:top w:w="41.0" w:type="dxa"/>
        <w:left w:w="827.0" w:type="dxa"/>
        <w:right w:w="115.0" w:type="dxa"/>
      </w:tblCellMar>
    </w:tblPr>
  </w:style>
  <w:style w:type="table" w:styleId="affd" w:customStyle="1">
    <w:basedOn w:val="TableNormalb"/>
    <w:tblPr>
      <w:tblStyleRowBandSize w:val="1"/>
      <w:tblStyleColBandSize w:val="1"/>
      <w:tblCellMar>
        <w:top w:w="41.0" w:type="dxa"/>
        <w:left w:w="827.0" w:type="dxa"/>
        <w:right w:w="115.0" w:type="dxa"/>
      </w:tblCellMar>
    </w:tblPr>
  </w:style>
  <w:style w:type="table" w:styleId="affe" w:customStyle="1">
    <w:basedOn w:val="TableNormalb"/>
    <w:tblPr>
      <w:tblStyleRowBandSize w:val="1"/>
      <w:tblStyleColBandSize w:val="1"/>
      <w:tblCellMar>
        <w:top w:w="41.0" w:type="dxa"/>
        <w:left w:w="827.0" w:type="dxa"/>
        <w:right w:w="115.0" w:type="dxa"/>
      </w:tblCellMar>
    </w:tblPr>
  </w:style>
  <w:style w:type="table" w:styleId="afff" w:customStyle="1">
    <w:basedOn w:val="TableNormalb"/>
    <w:tblPr>
      <w:tblStyleRowBandSize w:val="1"/>
      <w:tblStyleColBandSize w:val="1"/>
      <w:tblCellMar>
        <w:top w:w="41.0" w:type="dxa"/>
        <w:left w:w="827.0" w:type="dxa"/>
        <w:right w:w="115.0" w:type="dxa"/>
      </w:tblCellMar>
    </w:tblPr>
  </w:style>
  <w:style w:type="table" w:styleId="afff0" w:customStyle="1">
    <w:basedOn w:val="TableNormalb"/>
    <w:tblPr>
      <w:tblStyleRowBandSize w:val="1"/>
      <w:tblStyleColBandSize w:val="1"/>
      <w:tblCellMar>
        <w:top w:w="41.0" w:type="dxa"/>
        <w:left w:w="827.0" w:type="dxa"/>
        <w:right w:w="115.0" w:type="dxa"/>
      </w:tblCellMar>
    </w:tblPr>
  </w:style>
  <w:style w:type="table" w:styleId="afff1" w:customStyle="1">
    <w:basedOn w:val="TableNormalb"/>
    <w:tblPr>
      <w:tblStyleRowBandSize w:val="1"/>
      <w:tblStyleColBandSize w:val="1"/>
      <w:tblCellMar>
        <w:top w:w="41.0" w:type="dxa"/>
        <w:left w:w="827.0" w:type="dxa"/>
        <w:right w:w="115.0" w:type="dxa"/>
      </w:tblCellMar>
    </w:tblPr>
  </w:style>
  <w:style w:type="table" w:styleId="afff2" w:customStyle="1">
    <w:basedOn w:val="TableNormalb"/>
    <w:tblPr>
      <w:tblStyleRowBandSize w:val="1"/>
      <w:tblStyleColBandSize w:val="1"/>
      <w:tblCellMar>
        <w:top w:w="41.0" w:type="dxa"/>
        <w:left w:w="827.0" w:type="dxa"/>
        <w:right w:w="115.0" w:type="dxa"/>
      </w:tblCellMar>
    </w:tblPr>
  </w:style>
  <w:style w:type="table" w:styleId="afff3" w:customStyle="1">
    <w:basedOn w:val="TableNormalb"/>
    <w:tblPr>
      <w:tblStyleRowBandSize w:val="1"/>
      <w:tblStyleColBandSize w:val="1"/>
      <w:tblCellMar>
        <w:top w:w="41.0" w:type="dxa"/>
        <w:left w:w="827.0" w:type="dxa"/>
        <w:right w:w="115.0" w:type="dxa"/>
      </w:tblCellMar>
    </w:tblPr>
  </w:style>
  <w:style w:type="table" w:styleId="afff4" w:customStyle="1">
    <w:basedOn w:val="TableNormalb"/>
    <w:tblPr>
      <w:tblStyleRowBandSize w:val="1"/>
      <w:tblStyleColBandSize w:val="1"/>
      <w:tblCellMar>
        <w:top w:w="41.0" w:type="dxa"/>
        <w:left w:w="827.0" w:type="dxa"/>
        <w:right w:w="115.0" w:type="dxa"/>
      </w:tblCellMar>
    </w:tblPr>
  </w:style>
  <w:style w:type="table" w:styleId="afff5" w:customStyle="1">
    <w:basedOn w:val="TableNormalb"/>
    <w:tblPr>
      <w:tblStyleRowBandSize w:val="1"/>
      <w:tblStyleColBandSize w:val="1"/>
      <w:tblCellMar>
        <w:top w:w="41.0" w:type="dxa"/>
        <w:left w:w="827.0" w:type="dxa"/>
        <w:right w:w="115.0" w:type="dxa"/>
      </w:tblCellMar>
    </w:tblPr>
  </w:style>
  <w:style w:type="table" w:styleId="afff6" w:customStyle="1">
    <w:basedOn w:val="TableNormalb"/>
    <w:tblPr>
      <w:tblStyleRowBandSize w:val="1"/>
      <w:tblStyleColBandSize w:val="1"/>
      <w:tblCellMar>
        <w:top w:w="41.0" w:type="dxa"/>
        <w:left w:w="827.0" w:type="dxa"/>
        <w:right w:w="115.0" w:type="dxa"/>
      </w:tblCellMar>
    </w:tblPr>
  </w:style>
  <w:style w:type="table" w:styleId="afff7" w:customStyle="1">
    <w:basedOn w:val="TableNormal9"/>
    <w:tblPr>
      <w:tblStyleRowBandSize w:val="1"/>
      <w:tblStyleColBandSize w:val="1"/>
      <w:tblCellMar>
        <w:top w:w="41.0" w:type="dxa"/>
        <w:left w:w="827.0" w:type="dxa"/>
        <w:right w:w="115.0" w:type="dxa"/>
      </w:tblCellMar>
    </w:tblPr>
  </w:style>
  <w:style w:type="table" w:styleId="afff8" w:customStyle="1">
    <w:basedOn w:val="TableNormal9"/>
    <w:tblPr>
      <w:tblStyleRowBandSize w:val="1"/>
      <w:tblStyleColBandSize w:val="1"/>
      <w:tblCellMar>
        <w:top w:w="41.0" w:type="dxa"/>
        <w:left w:w="827.0" w:type="dxa"/>
        <w:right w:w="115.0" w:type="dxa"/>
      </w:tblCellMar>
    </w:tblPr>
  </w:style>
  <w:style w:type="table" w:styleId="afff9" w:customStyle="1">
    <w:basedOn w:val="TableNormal9"/>
    <w:tblPr>
      <w:tblStyleRowBandSize w:val="1"/>
      <w:tblStyleColBandSize w:val="1"/>
      <w:tblCellMar>
        <w:top w:w="41.0" w:type="dxa"/>
        <w:left w:w="827.0" w:type="dxa"/>
        <w:right w:w="115.0" w:type="dxa"/>
      </w:tblCellMar>
    </w:tblPr>
  </w:style>
  <w:style w:type="table" w:styleId="afffa" w:customStyle="1">
    <w:basedOn w:val="TableNormal9"/>
    <w:tblPr>
      <w:tblStyleRowBandSize w:val="1"/>
      <w:tblStyleColBandSize w:val="1"/>
      <w:tblCellMar>
        <w:top w:w="41.0" w:type="dxa"/>
        <w:left w:w="827.0" w:type="dxa"/>
        <w:right w:w="115.0" w:type="dxa"/>
      </w:tblCellMar>
    </w:tblPr>
  </w:style>
  <w:style w:type="table" w:styleId="afffb" w:customStyle="1">
    <w:basedOn w:val="TableNormal9"/>
    <w:tblPr>
      <w:tblStyleRowBandSize w:val="1"/>
      <w:tblStyleColBandSize w:val="1"/>
      <w:tblCellMar>
        <w:top w:w="41.0" w:type="dxa"/>
        <w:left w:w="827.0" w:type="dxa"/>
        <w:right w:w="115.0" w:type="dxa"/>
      </w:tblCellMar>
    </w:tblPr>
  </w:style>
  <w:style w:type="table" w:styleId="afffc" w:customStyle="1">
    <w:basedOn w:val="TableNormal9"/>
    <w:tblPr>
      <w:tblStyleRowBandSize w:val="1"/>
      <w:tblStyleColBandSize w:val="1"/>
      <w:tblCellMar>
        <w:top w:w="41.0" w:type="dxa"/>
        <w:left w:w="827.0" w:type="dxa"/>
        <w:right w:w="115.0" w:type="dxa"/>
      </w:tblCellMar>
    </w:tblPr>
  </w:style>
  <w:style w:type="table" w:styleId="afffd" w:customStyle="1">
    <w:basedOn w:val="TableNormal9"/>
    <w:tblPr>
      <w:tblStyleRowBandSize w:val="1"/>
      <w:tblStyleColBandSize w:val="1"/>
      <w:tblCellMar>
        <w:top w:w="41.0" w:type="dxa"/>
        <w:left w:w="827.0" w:type="dxa"/>
        <w:right w:w="115.0" w:type="dxa"/>
      </w:tblCellMar>
    </w:tblPr>
  </w:style>
  <w:style w:type="table" w:styleId="afffe" w:customStyle="1">
    <w:basedOn w:val="TableNormal9"/>
    <w:tblPr>
      <w:tblStyleRowBandSize w:val="1"/>
      <w:tblStyleColBandSize w:val="1"/>
      <w:tblCellMar>
        <w:top w:w="41.0" w:type="dxa"/>
        <w:left w:w="827.0" w:type="dxa"/>
        <w:right w:w="115.0" w:type="dxa"/>
      </w:tblCellMar>
    </w:tblPr>
  </w:style>
  <w:style w:type="table" w:styleId="affff" w:customStyle="1">
    <w:basedOn w:val="TableNormal9"/>
    <w:tblPr>
      <w:tblStyleRowBandSize w:val="1"/>
      <w:tblStyleColBandSize w:val="1"/>
      <w:tblCellMar>
        <w:top w:w="41.0" w:type="dxa"/>
        <w:left w:w="827.0" w:type="dxa"/>
        <w:right w:w="115.0" w:type="dxa"/>
      </w:tblCellMar>
    </w:tblPr>
  </w:style>
  <w:style w:type="table" w:styleId="affff0" w:customStyle="1">
    <w:basedOn w:val="TableNormal9"/>
    <w:tblPr>
      <w:tblStyleRowBandSize w:val="1"/>
      <w:tblStyleColBandSize w:val="1"/>
      <w:tblCellMar>
        <w:top w:w="41.0" w:type="dxa"/>
        <w:left w:w="827.0" w:type="dxa"/>
        <w:right w:w="115.0" w:type="dxa"/>
      </w:tblCellMar>
    </w:tblPr>
  </w:style>
  <w:style w:type="table" w:styleId="affff1" w:customStyle="1">
    <w:basedOn w:val="TableNormal9"/>
    <w:tblPr>
      <w:tblStyleRowBandSize w:val="1"/>
      <w:tblStyleColBandSize w:val="1"/>
      <w:tblCellMar>
        <w:top w:w="41.0" w:type="dxa"/>
        <w:left w:w="827.0" w:type="dxa"/>
        <w:right w:w="115.0" w:type="dxa"/>
      </w:tblCellMar>
    </w:tblPr>
  </w:style>
  <w:style w:type="table" w:styleId="affff2" w:customStyle="1">
    <w:basedOn w:val="TableNormal9"/>
    <w:tblPr>
      <w:tblStyleRowBandSize w:val="1"/>
      <w:tblStyleColBandSize w:val="1"/>
      <w:tblCellMar>
        <w:top w:w="41.0" w:type="dxa"/>
        <w:left w:w="827.0" w:type="dxa"/>
        <w:right w:w="115.0" w:type="dxa"/>
      </w:tblCellMar>
    </w:tblPr>
  </w:style>
  <w:style w:type="table" w:styleId="affff3" w:customStyle="1">
    <w:basedOn w:val="TableNormal9"/>
    <w:tblPr>
      <w:tblStyleRowBandSize w:val="1"/>
      <w:tblStyleColBandSize w:val="1"/>
      <w:tblCellMar>
        <w:top w:w="41.0" w:type="dxa"/>
        <w:left w:w="827.0" w:type="dxa"/>
        <w:right w:w="115.0" w:type="dxa"/>
      </w:tblCellMar>
    </w:tblPr>
  </w:style>
  <w:style w:type="table" w:styleId="affff4" w:customStyle="1">
    <w:basedOn w:val="TableNormal9"/>
    <w:tblPr>
      <w:tblStyleRowBandSize w:val="1"/>
      <w:tblStyleColBandSize w:val="1"/>
      <w:tblCellMar>
        <w:top w:w="41.0" w:type="dxa"/>
        <w:left w:w="827.0" w:type="dxa"/>
        <w:right w:w="115.0" w:type="dxa"/>
      </w:tblCellMar>
    </w:tblPr>
  </w:style>
  <w:style w:type="table" w:styleId="affff5" w:customStyle="1">
    <w:basedOn w:val="TableNormal9"/>
    <w:tblPr>
      <w:tblStyleRowBandSize w:val="1"/>
      <w:tblStyleColBandSize w:val="1"/>
      <w:tblCellMar>
        <w:top w:w="41.0" w:type="dxa"/>
        <w:left w:w="827.0" w:type="dxa"/>
        <w:right w:w="115.0" w:type="dxa"/>
      </w:tblCellMar>
    </w:tblPr>
  </w:style>
  <w:style w:type="table" w:styleId="affff6" w:customStyle="1">
    <w:basedOn w:val="TableNormal9"/>
    <w:tblPr>
      <w:tblStyleRowBandSize w:val="1"/>
      <w:tblStyleColBandSize w:val="1"/>
      <w:tblCellMar>
        <w:top w:w="41.0" w:type="dxa"/>
        <w:left w:w="827.0" w:type="dxa"/>
        <w:right w:w="115.0" w:type="dxa"/>
      </w:tblCellMar>
    </w:tblPr>
  </w:style>
  <w:style w:type="table" w:styleId="affff7" w:customStyle="1">
    <w:basedOn w:val="TableNormal9"/>
    <w:tblPr>
      <w:tblStyleRowBandSize w:val="1"/>
      <w:tblStyleColBandSize w:val="1"/>
      <w:tblCellMar>
        <w:top w:w="41.0" w:type="dxa"/>
        <w:left w:w="827.0" w:type="dxa"/>
        <w:right w:w="115.0" w:type="dxa"/>
      </w:tblCellMar>
    </w:tblPr>
  </w:style>
  <w:style w:type="table" w:styleId="affff8" w:customStyle="1">
    <w:basedOn w:val="TableNormal9"/>
    <w:tblPr>
      <w:tblStyleRowBandSize w:val="1"/>
      <w:tblStyleColBandSize w:val="1"/>
      <w:tblCellMar>
        <w:top w:w="41.0" w:type="dxa"/>
        <w:left w:w="827.0" w:type="dxa"/>
        <w:right w:w="115.0" w:type="dxa"/>
      </w:tblCellMar>
    </w:tblPr>
  </w:style>
  <w:style w:type="table" w:styleId="affff9" w:customStyle="1">
    <w:basedOn w:val="TableNormal9"/>
    <w:tblPr>
      <w:tblStyleRowBandSize w:val="1"/>
      <w:tblStyleColBandSize w:val="1"/>
      <w:tblCellMar>
        <w:top w:w="41.0" w:type="dxa"/>
        <w:left w:w="827.0" w:type="dxa"/>
        <w:right w:w="115.0" w:type="dxa"/>
      </w:tblCellMar>
    </w:tblPr>
  </w:style>
  <w:style w:type="table" w:styleId="affffa" w:customStyle="1">
    <w:basedOn w:val="TableNormal9"/>
    <w:tblPr>
      <w:tblStyleRowBandSize w:val="1"/>
      <w:tblStyleColBandSize w:val="1"/>
      <w:tblCellMar>
        <w:top w:w="41.0" w:type="dxa"/>
        <w:left w:w="827.0" w:type="dxa"/>
        <w:right w:w="115.0" w:type="dxa"/>
      </w:tblCellMar>
    </w:tblPr>
  </w:style>
  <w:style w:type="table" w:styleId="affffb" w:customStyle="1">
    <w:basedOn w:val="TableNormal9"/>
    <w:tblPr>
      <w:tblStyleRowBandSize w:val="1"/>
      <w:tblStyleColBandSize w:val="1"/>
      <w:tblCellMar>
        <w:top w:w="41.0" w:type="dxa"/>
        <w:left w:w="827.0" w:type="dxa"/>
        <w:right w:w="115.0" w:type="dxa"/>
      </w:tblCellMar>
    </w:tblPr>
  </w:style>
  <w:style w:type="table" w:styleId="affffc" w:customStyle="1">
    <w:basedOn w:val="TableNormal9"/>
    <w:tblPr>
      <w:tblStyleRowBandSize w:val="1"/>
      <w:tblStyleColBandSize w:val="1"/>
      <w:tblCellMar>
        <w:top w:w="41.0" w:type="dxa"/>
        <w:left w:w="827.0" w:type="dxa"/>
        <w:right w:w="115.0" w:type="dxa"/>
      </w:tblCellMar>
    </w:tblPr>
  </w:style>
  <w:style w:type="table" w:styleId="affffd" w:customStyle="1">
    <w:basedOn w:val="TableNormal9"/>
    <w:tblPr>
      <w:tblStyleRowBandSize w:val="1"/>
      <w:tblStyleColBandSize w:val="1"/>
      <w:tblCellMar>
        <w:top w:w="41.0" w:type="dxa"/>
        <w:left w:w="827.0" w:type="dxa"/>
        <w:right w:w="115.0" w:type="dxa"/>
      </w:tblCellMar>
    </w:tblPr>
  </w:style>
  <w:style w:type="table" w:styleId="affffe" w:customStyle="1">
    <w:basedOn w:val="TableNormal9"/>
    <w:tblPr>
      <w:tblStyleRowBandSize w:val="1"/>
      <w:tblStyleColBandSize w:val="1"/>
      <w:tblCellMar>
        <w:top w:w="41.0" w:type="dxa"/>
        <w:left w:w="827.0" w:type="dxa"/>
        <w:right w:w="115.0" w:type="dxa"/>
      </w:tblCellMar>
    </w:tblPr>
  </w:style>
  <w:style w:type="table" w:styleId="afffff" w:customStyle="1">
    <w:basedOn w:val="TableNormal9"/>
    <w:tblPr>
      <w:tblStyleRowBandSize w:val="1"/>
      <w:tblStyleColBandSize w:val="1"/>
      <w:tblCellMar>
        <w:top w:w="41.0" w:type="dxa"/>
        <w:left w:w="827.0" w:type="dxa"/>
        <w:right w:w="115.0" w:type="dxa"/>
      </w:tblCellMar>
    </w:tblPr>
  </w:style>
  <w:style w:type="table" w:styleId="afffff0" w:customStyle="1">
    <w:basedOn w:val="TableNormal9"/>
    <w:tblPr>
      <w:tblStyleRowBandSize w:val="1"/>
      <w:tblStyleColBandSize w:val="1"/>
      <w:tblCellMar>
        <w:top w:w="41.0" w:type="dxa"/>
        <w:left w:w="827.0" w:type="dxa"/>
        <w:right w:w="115.0" w:type="dxa"/>
      </w:tblCellMar>
    </w:tblPr>
  </w:style>
  <w:style w:type="table" w:styleId="afffff1" w:customStyle="1">
    <w:basedOn w:val="TableNormal9"/>
    <w:tblPr>
      <w:tblStyleRowBandSize w:val="1"/>
      <w:tblStyleColBandSize w:val="1"/>
      <w:tblCellMar>
        <w:top w:w="41.0" w:type="dxa"/>
        <w:left w:w="827.0" w:type="dxa"/>
        <w:right w:w="115.0" w:type="dxa"/>
      </w:tblCellMar>
    </w:tblPr>
  </w:style>
  <w:style w:type="table" w:styleId="afffff2" w:customStyle="1">
    <w:basedOn w:val="TableNormal9"/>
    <w:tblPr>
      <w:tblStyleRowBandSize w:val="1"/>
      <w:tblStyleColBandSize w:val="1"/>
      <w:tblCellMar>
        <w:top w:w="41.0" w:type="dxa"/>
        <w:left w:w="827.0" w:type="dxa"/>
        <w:right w:w="115.0" w:type="dxa"/>
      </w:tblCellMar>
    </w:tblPr>
  </w:style>
  <w:style w:type="table" w:styleId="afffff3" w:customStyle="1">
    <w:basedOn w:val="TableNormal9"/>
    <w:tblPr>
      <w:tblStyleRowBandSize w:val="1"/>
      <w:tblStyleColBandSize w:val="1"/>
      <w:tblCellMar>
        <w:top w:w="41.0" w:type="dxa"/>
        <w:left w:w="827.0" w:type="dxa"/>
        <w:right w:w="115.0" w:type="dxa"/>
      </w:tblCellMar>
    </w:tblPr>
  </w:style>
  <w:style w:type="table" w:styleId="afffff4" w:customStyle="1">
    <w:basedOn w:val="TableNormal9"/>
    <w:tblPr>
      <w:tblStyleRowBandSize w:val="1"/>
      <w:tblStyleColBandSize w:val="1"/>
      <w:tblCellMar>
        <w:top w:w="41.0" w:type="dxa"/>
        <w:left w:w="827.0" w:type="dxa"/>
        <w:right w:w="115.0" w:type="dxa"/>
      </w:tblCellMar>
    </w:tblPr>
  </w:style>
  <w:style w:type="table" w:styleId="afffff5" w:customStyle="1">
    <w:basedOn w:val="TableNormal9"/>
    <w:tblPr>
      <w:tblStyleRowBandSize w:val="1"/>
      <w:tblStyleColBandSize w:val="1"/>
      <w:tblCellMar>
        <w:top w:w="41.0" w:type="dxa"/>
        <w:left w:w="827.0" w:type="dxa"/>
        <w:right w:w="115.0" w:type="dxa"/>
      </w:tblCellMar>
    </w:tblPr>
  </w:style>
  <w:style w:type="table" w:styleId="afffff6" w:customStyle="1">
    <w:basedOn w:val="TableNormal9"/>
    <w:tblPr>
      <w:tblStyleRowBandSize w:val="1"/>
      <w:tblStyleColBandSize w:val="1"/>
      <w:tblCellMar>
        <w:top w:w="41.0" w:type="dxa"/>
        <w:left w:w="827.0" w:type="dxa"/>
        <w:right w:w="115.0" w:type="dxa"/>
      </w:tblCellMar>
    </w:tblPr>
  </w:style>
  <w:style w:type="table" w:styleId="afffff7" w:customStyle="1">
    <w:basedOn w:val="TableNormal9"/>
    <w:tblPr>
      <w:tblStyleRowBandSize w:val="1"/>
      <w:tblStyleColBandSize w:val="1"/>
      <w:tblCellMar>
        <w:top w:w="41.0" w:type="dxa"/>
        <w:left w:w="827.0" w:type="dxa"/>
        <w:right w:w="115.0" w:type="dxa"/>
      </w:tblCellMar>
    </w:tblPr>
  </w:style>
  <w:style w:type="table" w:styleId="afffff8" w:customStyle="1">
    <w:basedOn w:val="TableNormal9"/>
    <w:tblPr>
      <w:tblStyleRowBandSize w:val="1"/>
      <w:tblStyleColBandSize w:val="1"/>
      <w:tblCellMar>
        <w:top w:w="41.0" w:type="dxa"/>
        <w:left w:w="827.0" w:type="dxa"/>
        <w:right w:w="115.0" w:type="dxa"/>
      </w:tblCellMar>
    </w:tblPr>
  </w:style>
  <w:style w:type="table" w:styleId="afffff9" w:customStyle="1">
    <w:basedOn w:val="TableNormal9"/>
    <w:tblPr>
      <w:tblStyleRowBandSize w:val="1"/>
      <w:tblStyleColBandSize w:val="1"/>
      <w:tblCellMar>
        <w:top w:w="41.0" w:type="dxa"/>
        <w:left w:w="827.0" w:type="dxa"/>
        <w:right w:w="115.0" w:type="dxa"/>
      </w:tblCellMar>
    </w:tblPr>
  </w:style>
  <w:style w:type="table" w:styleId="afffffa" w:customStyle="1">
    <w:basedOn w:val="TableNormal9"/>
    <w:tblPr>
      <w:tblStyleRowBandSize w:val="1"/>
      <w:tblStyleColBandSize w:val="1"/>
      <w:tblCellMar>
        <w:top w:w="41.0" w:type="dxa"/>
        <w:left w:w="827.0" w:type="dxa"/>
        <w:right w:w="115.0" w:type="dxa"/>
      </w:tblCellMar>
    </w:tblPr>
  </w:style>
  <w:style w:type="table" w:styleId="afffffb" w:customStyle="1">
    <w:basedOn w:val="TableNormal9"/>
    <w:tblPr>
      <w:tblStyleRowBandSize w:val="1"/>
      <w:tblStyleColBandSize w:val="1"/>
      <w:tblCellMar>
        <w:top w:w="41.0" w:type="dxa"/>
        <w:left w:w="827.0" w:type="dxa"/>
        <w:right w:w="115.0" w:type="dxa"/>
      </w:tblCellMar>
    </w:tblPr>
  </w:style>
  <w:style w:type="table" w:styleId="afffffc" w:customStyle="1">
    <w:basedOn w:val="TableNormal9"/>
    <w:tblPr>
      <w:tblStyleRowBandSize w:val="1"/>
      <w:tblStyleColBandSize w:val="1"/>
      <w:tblCellMar>
        <w:top w:w="41.0" w:type="dxa"/>
        <w:left w:w="827.0" w:type="dxa"/>
        <w:right w:w="115.0" w:type="dxa"/>
      </w:tblCellMar>
    </w:tblPr>
  </w:style>
  <w:style w:type="table" w:styleId="afffffd" w:customStyle="1">
    <w:basedOn w:val="TableNormal9"/>
    <w:tblPr>
      <w:tblStyleRowBandSize w:val="1"/>
      <w:tblStyleColBandSize w:val="1"/>
      <w:tblCellMar>
        <w:top w:w="41.0" w:type="dxa"/>
        <w:left w:w="827.0" w:type="dxa"/>
        <w:right w:w="115.0" w:type="dxa"/>
      </w:tblCellMar>
    </w:tblPr>
  </w:style>
  <w:style w:type="table" w:styleId="afffffe" w:customStyle="1">
    <w:basedOn w:val="TableNormal9"/>
    <w:tblPr>
      <w:tblStyleRowBandSize w:val="1"/>
      <w:tblStyleColBandSize w:val="1"/>
      <w:tblCellMar>
        <w:top w:w="41.0" w:type="dxa"/>
        <w:left w:w="827.0" w:type="dxa"/>
        <w:right w:w="115.0" w:type="dxa"/>
      </w:tblCellMar>
    </w:tblPr>
  </w:style>
  <w:style w:type="table" w:styleId="affffff" w:customStyle="1">
    <w:basedOn w:val="TableNormal9"/>
    <w:tblPr>
      <w:tblStyleRowBandSize w:val="1"/>
      <w:tblStyleColBandSize w:val="1"/>
      <w:tblCellMar>
        <w:top w:w="41.0" w:type="dxa"/>
        <w:left w:w="827.0" w:type="dxa"/>
        <w:right w:w="115.0" w:type="dxa"/>
      </w:tblCellMar>
    </w:tblPr>
  </w:style>
  <w:style w:type="table" w:styleId="affffff0" w:customStyle="1">
    <w:basedOn w:val="TableNormal6"/>
    <w:tblPr>
      <w:tblStyleRowBandSize w:val="1"/>
      <w:tblStyleColBandSize w:val="1"/>
      <w:tblCellMar>
        <w:top w:w="41.0" w:type="dxa"/>
        <w:left w:w="827.0" w:type="dxa"/>
        <w:right w:w="115.0" w:type="dxa"/>
      </w:tblCellMar>
    </w:tblPr>
  </w:style>
  <w:style w:type="table" w:styleId="affffff1" w:customStyle="1">
    <w:basedOn w:val="TableNormal6"/>
    <w:tblPr>
      <w:tblStyleRowBandSize w:val="1"/>
      <w:tblStyleColBandSize w:val="1"/>
      <w:tblCellMar>
        <w:top w:w="41.0" w:type="dxa"/>
        <w:left w:w="827.0" w:type="dxa"/>
        <w:right w:w="115.0" w:type="dxa"/>
      </w:tblCellMar>
    </w:tblPr>
  </w:style>
  <w:style w:type="table" w:styleId="affffff2" w:customStyle="1">
    <w:basedOn w:val="TableNormal6"/>
    <w:tblPr>
      <w:tblStyleRowBandSize w:val="1"/>
      <w:tblStyleColBandSize w:val="1"/>
      <w:tblCellMar>
        <w:top w:w="41.0" w:type="dxa"/>
        <w:left w:w="827.0" w:type="dxa"/>
        <w:right w:w="115.0" w:type="dxa"/>
      </w:tblCellMar>
    </w:tblPr>
  </w:style>
  <w:style w:type="table" w:styleId="affffff3" w:customStyle="1">
    <w:basedOn w:val="TableNormal6"/>
    <w:tblPr>
      <w:tblStyleRowBandSize w:val="1"/>
      <w:tblStyleColBandSize w:val="1"/>
      <w:tblCellMar>
        <w:top w:w="41.0" w:type="dxa"/>
        <w:left w:w="827.0" w:type="dxa"/>
        <w:right w:w="115.0" w:type="dxa"/>
      </w:tblCellMar>
    </w:tblPr>
  </w:style>
  <w:style w:type="table" w:styleId="affffff4" w:customStyle="1">
    <w:basedOn w:val="TableNormal6"/>
    <w:tblPr>
      <w:tblStyleRowBandSize w:val="1"/>
      <w:tblStyleColBandSize w:val="1"/>
      <w:tblCellMar>
        <w:top w:w="41.0" w:type="dxa"/>
        <w:left w:w="827.0" w:type="dxa"/>
        <w:right w:w="115.0" w:type="dxa"/>
      </w:tblCellMar>
    </w:tblPr>
  </w:style>
  <w:style w:type="table" w:styleId="affffff5" w:customStyle="1">
    <w:basedOn w:val="TableNormal6"/>
    <w:tblPr>
      <w:tblStyleRowBandSize w:val="1"/>
      <w:tblStyleColBandSize w:val="1"/>
      <w:tblCellMar>
        <w:top w:w="41.0" w:type="dxa"/>
        <w:left w:w="827.0" w:type="dxa"/>
        <w:right w:w="115.0" w:type="dxa"/>
      </w:tblCellMar>
    </w:tblPr>
  </w:style>
  <w:style w:type="table" w:styleId="affffff6" w:customStyle="1">
    <w:basedOn w:val="TableNormal6"/>
    <w:tblPr>
      <w:tblStyleRowBandSize w:val="1"/>
      <w:tblStyleColBandSize w:val="1"/>
      <w:tblCellMar>
        <w:top w:w="41.0" w:type="dxa"/>
        <w:left w:w="827.0" w:type="dxa"/>
        <w:right w:w="115.0" w:type="dxa"/>
      </w:tblCellMar>
    </w:tblPr>
  </w:style>
  <w:style w:type="table" w:styleId="affffff7" w:customStyle="1">
    <w:basedOn w:val="TableNormal6"/>
    <w:tblPr>
      <w:tblStyleRowBandSize w:val="1"/>
      <w:tblStyleColBandSize w:val="1"/>
      <w:tblCellMar>
        <w:top w:w="41.0" w:type="dxa"/>
        <w:left w:w="827.0" w:type="dxa"/>
        <w:right w:w="115.0" w:type="dxa"/>
      </w:tblCellMar>
    </w:tblPr>
  </w:style>
  <w:style w:type="table" w:styleId="affffff8" w:customStyle="1">
    <w:basedOn w:val="TableNormal6"/>
    <w:tblPr>
      <w:tblStyleRowBandSize w:val="1"/>
      <w:tblStyleColBandSize w:val="1"/>
      <w:tblCellMar>
        <w:top w:w="41.0" w:type="dxa"/>
        <w:left w:w="827.0" w:type="dxa"/>
        <w:right w:w="115.0" w:type="dxa"/>
      </w:tblCellMar>
    </w:tblPr>
  </w:style>
  <w:style w:type="table" w:styleId="affffff9" w:customStyle="1">
    <w:basedOn w:val="TableNormal6"/>
    <w:tblPr>
      <w:tblStyleRowBandSize w:val="1"/>
      <w:tblStyleColBandSize w:val="1"/>
      <w:tblCellMar>
        <w:top w:w="41.0" w:type="dxa"/>
        <w:left w:w="827.0" w:type="dxa"/>
        <w:right w:w="115.0" w:type="dxa"/>
      </w:tblCellMar>
    </w:tblPr>
  </w:style>
  <w:style w:type="table" w:styleId="affffffa" w:customStyle="1">
    <w:basedOn w:val="TableNormal6"/>
    <w:tblPr>
      <w:tblStyleRowBandSize w:val="1"/>
      <w:tblStyleColBandSize w:val="1"/>
      <w:tblCellMar>
        <w:top w:w="41.0" w:type="dxa"/>
        <w:left w:w="827.0" w:type="dxa"/>
        <w:right w:w="115.0" w:type="dxa"/>
      </w:tblCellMar>
    </w:tblPr>
  </w:style>
  <w:style w:type="table" w:styleId="affffffb" w:customStyle="1">
    <w:basedOn w:val="TableNormal6"/>
    <w:tblPr>
      <w:tblStyleRowBandSize w:val="1"/>
      <w:tblStyleColBandSize w:val="1"/>
      <w:tblCellMar>
        <w:top w:w="41.0" w:type="dxa"/>
        <w:left w:w="827.0" w:type="dxa"/>
        <w:right w:w="115.0" w:type="dxa"/>
      </w:tblCellMar>
    </w:tblPr>
  </w:style>
  <w:style w:type="table" w:styleId="affffffc" w:customStyle="1">
    <w:basedOn w:val="TableNormal6"/>
    <w:tblPr>
      <w:tblStyleRowBandSize w:val="1"/>
      <w:tblStyleColBandSize w:val="1"/>
      <w:tblCellMar>
        <w:top w:w="41.0" w:type="dxa"/>
        <w:left w:w="827.0" w:type="dxa"/>
        <w:right w:w="115.0" w:type="dxa"/>
      </w:tblCellMar>
    </w:tblPr>
  </w:style>
  <w:style w:type="table" w:styleId="affffffd" w:customStyle="1">
    <w:basedOn w:val="TableNormal5"/>
    <w:tblPr>
      <w:tblStyleRowBandSize w:val="1"/>
      <w:tblStyleColBandSize w:val="1"/>
      <w:tblCellMar>
        <w:top w:w="41.0" w:type="dxa"/>
        <w:left w:w="827.0" w:type="dxa"/>
        <w:right w:w="115.0" w:type="dxa"/>
      </w:tblCellMar>
    </w:tblPr>
  </w:style>
  <w:style w:type="table" w:styleId="affffffe" w:customStyle="1">
    <w:basedOn w:val="TableNormal5"/>
    <w:tblPr>
      <w:tblStyleRowBandSize w:val="1"/>
      <w:tblStyleColBandSize w:val="1"/>
      <w:tblCellMar>
        <w:top w:w="41.0" w:type="dxa"/>
        <w:left w:w="827.0" w:type="dxa"/>
        <w:right w:w="115.0" w:type="dxa"/>
      </w:tblCellMar>
    </w:tblPr>
  </w:style>
  <w:style w:type="table" w:styleId="afffffff" w:customStyle="1">
    <w:basedOn w:val="TableNormal5"/>
    <w:tblPr>
      <w:tblStyleRowBandSize w:val="1"/>
      <w:tblStyleColBandSize w:val="1"/>
      <w:tblCellMar>
        <w:top w:w="41.0" w:type="dxa"/>
        <w:left w:w="827.0" w:type="dxa"/>
        <w:right w:w="115.0" w:type="dxa"/>
      </w:tblCellMar>
    </w:tblPr>
  </w:style>
  <w:style w:type="table" w:styleId="afffffff0" w:customStyle="1">
    <w:basedOn w:val="TableNormal5"/>
    <w:tblPr>
      <w:tblStyleRowBandSize w:val="1"/>
      <w:tblStyleColBandSize w:val="1"/>
      <w:tblCellMar>
        <w:top w:w="41.0" w:type="dxa"/>
        <w:left w:w="827.0" w:type="dxa"/>
        <w:right w:w="115.0" w:type="dxa"/>
      </w:tblCellMar>
    </w:tblPr>
  </w:style>
  <w:style w:type="table" w:styleId="afffffff1" w:customStyle="1">
    <w:basedOn w:val="TableNormal5"/>
    <w:tblPr>
      <w:tblStyleRowBandSize w:val="1"/>
      <w:tblStyleColBandSize w:val="1"/>
      <w:tblCellMar>
        <w:top w:w="41.0" w:type="dxa"/>
        <w:left w:w="827.0" w:type="dxa"/>
        <w:right w:w="115.0" w:type="dxa"/>
      </w:tblCellMar>
    </w:tblPr>
  </w:style>
  <w:style w:type="table" w:styleId="afffffff2" w:customStyle="1">
    <w:basedOn w:val="TableNormal5"/>
    <w:tblPr>
      <w:tblStyleRowBandSize w:val="1"/>
      <w:tblStyleColBandSize w:val="1"/>
      <w:tblCellMar>
        <w:top w:w="41.0" w:type="dxa"/>
        <w:left w:w="827.0" w:type="dxa"/>
        <w:right w:w="115.0" w:type="dxa"/>
      </w:tblCellMar>
    </w:tblPr>
  </w:style>
  <w:style w:type="table" w:styleId="afffffff3" w:customStyle="1">
    <w:basedOn w:val="TableNormal5"/>
    <w:tblPr>
      <w:tblStyleRowBandSize w:val="1"/>
      <w:tblStyleColBandSize w:val="1"/>
      <w:tblCellMar>
        <w:top w:w="41.0" w:type="dxa"/>
        <w:left w:w="827.0" w:type="dxa"/>
        <w:right w:w="115.0" w:type="dxa"/>
      </w:tblCellMar>
    </w:tblPr>
  </w:style>
  <w:style w:type="table" w:styleId="afffffff4" w:customStyle="1">
    <w:basedOn w:val="TableNormal5"/>
    <w:tblPr>
      <w:tblStyleRowBandSize w:val="1"/>
      <w:tblStyleColBandSize w:val="1"/>
      <w:tblCellMar>
        <w:top w:w="41.0" w:type="dxa"/>
        <w:left w:w="827.0" w:type="dxa"/>
        <w:right w:w="115.0" w:type="dxa"/>
      </w:tblCellMar>
    </w:tblPr>
  </w:style>
  <w:style w:type="table" w:styleId="afffffff5" w:customStyle="1">
    <w:basedOn w:val="TableNormal5"/>
    <w:tblPr>
      <w:tblStyleRowBandSize w:val="1"/>
      <w:tblStyleColBandSize w:val="1"/>
      <w:tblCellMar>
        <w:top w:w="41.0" w:type="dxa"/>
        <w:left w:w="827.0" w:type="dxa"/>
        <w:right w:w="115.0" w:type="dxa"/>
      </w:tblCellMar>
    </w:tblPr>
  </w:style>
  <w:style w:type="table" w:styleId="afffffff6" w:customStyle="1">
    <w:basedOn w:val="TableNormal5"/>
    <w:tblPr>
      <w:tblStyleRowBandSize w:val="1"/>
      <w:tblStyleColBandSize w:val="1"/>
      <w:tblCellMar>
        <w:top w:w="41.0" w:type="dxa"/>
        <w:left w:w="827.0" w:type="dxa"/>
        <w:right w:w="115.0" w:type="dxa"/>
      </w:tblCellMar>
    </w:tblPr>
  </w:style>
  <w:style w:type="table" w:styleId="afffffff7" w:customStyle="1">
    <w:basedOn w:val="TableNormal5"/>
    <w:tblPr>
      <w:tblStyleRowBandSize w:val="1"/>
      <w:tblStyleColBandSize w:val="1"/>
      <w:tblCellMar>
        <w:top w:w="41.0" w:type="dxa"/>
        <w:left w:w="827.0" w:type="dxa"/>
        <w:right w:w="115.0" w:type="dxa"/>
      </w:tblCellMar>
    </w:tblPr>
  </w:style>
  <w:style w:type="table" w:styleId="afffffff8" w:customStyle="1">
    <w:basedOn w:val="TableNormal5"/>
    <w:tblPr>
      <w:tblStyleRowBandSize w:val="1"/>
      <w:tblStyleColBandSize w:val="1"/>
      <w:tblCellMar>
        <w:top w:w="41.0" w:type="dxa"/>
        <w:left w:w="827.0" w:type="dxa"/>
        <w:right w:w="115.0" w:type="dxa"/>
      </w:tblCellMar>
    </w:tblPr>
  </w:style>
  <w:style w:type="table" w:styleId="afffffff9" w:customStyle="1">
    <w:basedOn w:val="TableNormal5"/>
    <w:tblPr>
      <w:tblStyleRowBandSize w:val="1"/>
      <w:tblStyleColBandSize w:val="1"/>
      <w:tblCellMar>
        <w:top w:w="41.0" w:type="dxa"/>
        <w:left w:w="827.0" w:type="dxa"/>
        <w:right w:w="115.0" w:type="dxa"/>
      </w:tblCellMar>
    </w:tblPr>
  </w:style>
  <w:style w:type="table" w:styleId="afffffffa" w:customStyle="1">
    <w:basedOn w:val="TableNormal5"/>
    <w:tblPr>
      <w:tblStyleRowBandSize w:val="1"/>
      <w:tblStyleColBandSize w:val="1"/>
      <w:tblCellMar>
        <w:top w:w="41.0" w:type="dxa"/>
        <w:left w:w="827.0" w:type="dxa"/>
        <w:right w:w="115.0" w:type="dxa"/>
      </w:tblCellMar>
    </w:tblPr>
  </w:style>
  <w:style w:type="table" w:styleId="afffffffb" w:customStyle="1">
    <w:basedOn w:val="TableNormal5"/>
    <w:tblPr>
      <w:tblStyleRowBandSize w:val="1"/>
      <w:tblStyleColBandSize w:val="1"/>
      <w:tblCellMar>
        <w:top w:w="41.0" w:type="dxa"/>
        <w:left w:w="827.0" w:type="dxa"/>
        <w:right w:w="115.0" w:type="dxa"/>
      </w:tblCellMar>
    </w:tblPr>
  </w:style>
  <w:style w:type="table" w:styleId="afffffffc" w:customStyle="1">
    <w:basedOn w:val="TableNormal5"/>
    <w:tblPr>
      <w:tblStyleRowBandSize w:val="1"/>
      <w:tblStyleColBandSize w:val="1"/>
      <w:tblCellMar>
        <w:top w:w="41.0" w:type="dxa"/>
        <w:left w:w="827.0" w:type="dxa"/>
        <w:right w:w="115.0" w:type="dxa"/>
      </w:tblCellMar>
    </w:tblPr>
  </w:style>
  <w:style w:type="table" w:styleId="afffffffd" w:customStyle="1">
    <w:basedOn w:val="TableNormal5"/>
    <w:tblPr>
      <w:tblStyleRowBandSize w:val="1"/>
      <w:tblStyleColBandSize w:val="1"/>
      <w:tblCellMar>
        <w:top w:w="41.0" w:type="dxa"/>
        <w:left w:w="827.0" w:type="dxa"/>
        <w:right w:w="115.0" w:type="dxa"/>
      </w:tblCellMar>
    </w:tblPr>
  </w:style>
  <w:style w:type="table" w:styleId="afffffffe" w:customStyle="1">
    <w:basedOn w:val="TableNormal5"/>
    <w:tblPr>
      <w:tblStyleRowBandSize w:val="1"/>
      <w:tblStyleColBandSize w:val="1"/>
      <w:tblCellMar>
        <w:top w:w="41.0" w:type="dxa"/>
        <w:left w:w="827.0" w:type="dxa"/>
        <w:right w:w="115.0" w:type="dxa"/>
      </w:tblCellMar>
    </w:tblPr>
  </w:style>
  <w:style w:type="table" w:styleId="affffffff" w:customStyle="1">
    <w:basedOn w:val="TableNormal5"/>
    <w:tblPr>
      <w:tblStyleRowBandSize w:val="1"/>
      <w:tblStyleColBandSize w:val="1"/>
      <w:tblCellMar>
        <w:top w:w="41.0" w:type="dxa"/>
        <w:left w:w="827.0" w:type="dxa"/>
        <w:right w:w="115.0" w:type="dxa"/>
      </w:tblCellMar>
    </w:tblPr>
  </w:style>
  <w:style w:type="table" w:styleId="affffffff0" w:customStyle="1">
    <w:basedOn w:val="TableNormal5"/>
    <w:tblPr>
      <w:tblStyleRowBandSize w:val="1"/>
      <w:tblStyleColBandSize w:val="1"/>
      <w:tblCellMar>
        <w:top w:w="41.0" w:type="dxa"/>
        <w:left w:w="827.0" w:type="dxa"/>
        <w:right w:w="115.0" w:type="dxa"/>
      </w:tblCellMar>
    </w:tblPr>
  </w:style>
  <w:style w:type="table" w:styleId="affffffff1" w:customStyle="1">
    <w:basedOn w:val="TableNormal5"/>
    <w:tblPr>
      <w:tblStyleRowBandSize w:val="1"/>
      <w:tblStyleColBandSize w:val="1"/>
      <w:tblCellMar>
        <w:top w:w="41.0" w:type="dxa"/>
        <w:left w:w="827.0" w:type="dxa"/>
        <w:right w:w="115.0" w:type="dxa"/>
      </w:tblCellMar>
    </w:tblPr>
  </w:style>
  <w:style w:type="table" w:styleId="affffffff2" w:customStyle="1">
    <w:basedOn w:val="TableNormal5"/>
    <w:tblPr>
      <w:tblStyleRowBandSize w:val="1"/>
      <w:tblStyleColBandSize w:val="1"/>
      <w:tblCellMar>
        <w:top w:w="41.0" w:type="dxa"/>
        <w:left w:w="827.0" w:type="dxa"/>
        <w:right w:w="115.0" w:type="dxa"/>
      </w:tblCellMar>
    </w:tblPr>
  </w:style>
  <w:style w:type="table" w:styleId="affffffff3" w:customStyle="1">
    <w:basedOn w:val="TableNormal5"/>
    <w:tblPr>
      <w:tblStyleRowBandSize w:val="1"/>
      <w:tblStyleColBandSize w:val="1"/>
      <w:tblCellMar>
        <w:top w:w="41.0" w:type="dxa"/>
        <w:left w:w="827.0" w:type="dxa"/>
        <w:right w:w="115.0" w:type="dxa"/>
      </w:tblCellMar>
    </w:tblPr>
  </w:style>
  <w:style w:type="table" w:styleId="affffffff4" w:customStyle="1">
    <w:basedOn w:val="TableNormal5"/>
    <w:tblPr>
      <w:tblStyleRowBandSize w:val="1"/>
      <w:tblStyleColBandSize w:val="1"/>
      <w:tblCellMar>
        <w:top w:w="41.0" w:type="dxa"/>
        <w:left w:w="827.0" w:type="dxa"/>
        <w:right w:w="115.0" w:type="dxa"/>
      </w:tblCellMar>
    </w:tblPr>
  </w:style>
  <w:style w:type="table" w:styleId="affffffff5" w:customStyle="1">
    <w:basedOn w:val="TableNormal5"/>
    <w:tblPr>
      <w:tblStyleRowBandSize w:val="1"/>
      <w:tblStyleColBandSize w:val="1"/>
      <w:tblCellMar>
        <w:top w:w="41.0" w:type="dxa"/>
        <w:left w:w="827.0" w:type="dxa"/>
        <w:right w:w="115.0" w:type="dxa"/>
      </w:tblCellMar>
    </w:tblPr>
  </w:style>
  <w:style w:type="table" w:styleId="affffffff6" w:customStyle="1">
    <w:basedOn w:val="TableNormal3"/>
    <w:tblPr>
      <w:tblStyleRowBandSize w:val="1"/>
      <w:tblStyleColBandSize w:val="1"/>
      <w:tblCellMar>
        <w:top w:w="41.0" w:type="dxa"/>
        <w:left w:w="827.0" w:type="dxa"/>
        <w:right w:w="115.0" w:type="dxa"/>
      </w:tblCellMar>
    </w:tblPr>
  </w:style>
  <w:style w:type="table" w:styleId="affffffff7" w:customStyle="1">
    <w:basedOn w:val="TableNormal3"/>
    <w:tblPr>
      <w:tblStyleRowBandSize w:val="1"/>
      <w:tblStyleColBandSize w:val="1"/>
      <w:tblCellMar>
        <w:top w:w="41.0" w:type="dxa"/>
        <w:left w:w="827.0" w:type="dxa"/>
        <w:right w:w="115.0" w:type="dxa"/>
      </w:tblCellMar>
    </w:tblPr>
  </w:style>
  <w:style w:type="table" w:styleId="affffffff8" w:customStyle="1">
    <w:basedOn w:val="TableNormal3"/>
    <w:tblPr>
      <w:tblStyleRowBandSize w:val="1"/>
      <w:tblStyleColBandSize w:val="1"/>
      <w:tblCellMar>
        <w:top w:w="41.0" w:type="dxa"/>
        <w:left w:w="827.0" w:type="dxa"/>
        <w:right w:w="115.0" w:type="dxa"/>
      </w:tblCellMar>
    </w:tblPr>
  </w:style>
  <w:style w:type="table" w:styleId="affffffff9" w:customStyle="1">
    <w:basedOn w:val="TableNormal3"/>
    <w:tblPr>
      <w:tblStyleRowBandSize w:val="1"/>
      <w:tblStyleColBandSize w:val="1"/>
      <w:tblCellMar>
        <w:top w:w="41.0" w:type="dxa"/>
        <w:left w:w="827.0" w:type="dxa"/>
        <w:right w:w="115.0" w:type="dxa"/>
      </w:tblCellMar>
    </w:tblPr>
  </w:style>
  <w:style w:type="table" w:styleId="affffffffa" w:customStyle="1">
    <w:basedOn w:val="TableNormal3"/>
    <w:tblPr>
      <w:tblStyleRowBandSize w:val="1"/>
      <w:tblStyleColBandSize w:val="1"/>
      <w:tblCellMar>
        <w:top w:w="41.0" w:type="dxa"/>
        <w:left w:w="827.0" w:type="dxa"/>
        <w:right w:w="115.0" w:type="dxa"/>
      </w:tblCellMar>
    </w:tblPr>
  </w:style>
  <w:style w:type="table" w:styleId="affffffffb" w:customStyle="1">
    <w:basedOn w:val="TableNormal3"/>
    <w:tblPr>
      <w:tblStyleRowBandSize w:val="1"/>
      <w:tblStyleColBandSize w:val="1"/>
      <w:tblCellMar>
        <w:top w:w="41.0" w:type="dxa"/>
        <w:left w:w="827.0" w:type="dxa"/>
        <w:right w:w="115.0" w:type="dxa"/>
      </w:tblCellMar>
    </w:tblPr>
  </w:style>
  <w:style w:type="table" w:styleId="affffffffc" w:customStyle="1">
    <w:basedOn w:val="TableNormal3"/>
    <w:tblPr>
      <w:tblStyleRowBandSize w:val="1"/>
      <w:tblStyleColBandSize w:val="1"/>
      <w:tblCellMar>
        <w:top w:w="41.0" w:type="dxa"/>
        <w:left w:w="827.0" w:type="dxa"/>
        <w:right w:w="115.0" w:type="dxa"/>
      </w:tblCellMar>
    </w:tblPr>
  </w:style>
  <w:style w:type="table" w:styleId="affffffffd" w:customStyle="1">
    <w:basedOn w:val="TableNormal3"/>
    <w:tblPr>
      <w:tblStyleRowBandSize w:val="1"/>
      <w:tblStyleColBandSize w:val="1"/>
      <w:tblCellMar>
        <w:top w:w="41.0" w:type="dxa"/>
        <w:left w:w="827.0" w:type="dxa"/>
        <w:right w:w="115.0" w:type="dxa"/>
      </w:tblCellMar>
    </w:tblPr>
  </w:style>
  <w:style w:type="table" w:styleId="affffffffe" w:customStyle="1">
    <w:basedOn w:val="TableNormal3"/>
    <w:tblPr>
      <w:tblStyleRowBandSize w:val="1"/>
      <w:tblStyleColBandSize w:val="1"/>
      <w:tblCellMar>
        <w:top w:w="41.0" w:type="dxa"/>
        <w:left w:w="827.0" w:type="dxa"/>
        <w:right w:w="115.0" w:type="dxa"/>
      </w:tblCellMar>
    </w:tblPr>
  </w:style>
  <w:style w:type="table" w:styleId="afffffffff" w:customStyle="1">
    <w:basedOn w:val="TableNormal3"/>
    <w:tblPr>
      <w:tblStyleRowBandSize w:val="1"/>
      <w:tblStyleColBandSize w:val="1"/>
      <w:tblCellMar>
        <w:top w:w="41.0" w:type="dxa"/>
        <w:left w:w="827.0" w:type="dxa"/>
        <w:right w:w="115.0" w:type="dxa"/>
      </w:tblCellMar>
    </w:tblPr>
  </w:style>
  <w:style w:type="table" w:styleId="afffffffff0" w:customStyle="1">
    <w:basedOn w:val="TableNormal3"/>
    <w:tblPr>
      <w:tblStyleRowBandSize w:val="1"/>
      <w:tblStyleColBandSize w:val="1"/>
      <w:tblCellMar>
        <w:top w:w="41.0" w:type="dxa"/>
        <w:left w:w="827.0" w:type="dxa"/>
        <w:right w:w="115.0" w:type="dxa"/>
      </w:tblCellMar>
    </w:tblPr>
  </w:style>
  <w:style w:type="table" w:styleId="afffffffff1" w:customStyle="1">
    <w:basedOn w:val="TableNormal3"/>
    <w:tblPr>
      <w:tblStyleRowBandSize w:val="1"/>
      <w:tblStyleColBandSize w:val="1"/>
      <w:tblCellMar>
        <w:top w:w="41.0" w:type="dxa"/>
        <w:left w:w="827.0" w:type="dxa"/>
        <w:right w:w="115.0" w:type="dxa"/>
      </w:tblCellMar>
    </w:tblPr>
  </w:style>
  <w:style w:type="table" w:styleId="afffffffff2" w:customStyle="1">
    <w:basedOn w:val="TableNormal3"/>
    <w:tblPr>
      <w:tblStyleRowBandSize w:val="1"/>
      <w:tblStyleColBandSize w:val="1"/>
      <w:tblCellMar>
        <w:top w:w="41.0" w:type="dxa"/>
        <w:left w:w="827.0" w:type="dxa"/>
        <w:right w:w="115.0" w:type="dxa"/>
      </w:tblCellMar>
    </w:tblPr>
  </w:style>
  <w:style w:type="table" w:styleId="afffffffff3" w:customStyle="1">
    <w:basedOn w:val="TableNormal3"/>
    <w:tblPr>
      <w:tblStyleRowBandSize w:val="1"/>
      <w:tblStyleColBandSize w:val="1"/>
      <w:tblCellMar>
        <w:top w:w="41.0" w:type="dxa"/>
        <w:left w:w="827.0" w:type="dxa"/>
        <w:right w:w="115.0" w:type="dxa"/>
      </w:tblCellMar>
    </w:tblPr>
  </w:style>
  <w:style w:type="table" w:styleId="afffffffff4" w:customStyle="1">
    <w:basedOn w:val="TableNormal3"/>
    <w:tblPr>
      <w:tblStyleRowBandSize w:val="1"/>
      <w:tblStyleColBandSize w:val="1"/>
      <w:tblCellMar>
        <w:top w:w="41.0" w:type="dxa"/>
        <w:left w:w="827.0" w:type="dxa"/>
        <w:right w:w="115.0" w:type="dxa"/>
      </w:tblCellMar>
    </w:tblPr>
  </w:style>
  <w:style w:type="table" w:styleId="afffffffff5" w:customStyle="1">
    <w:basedOn w:val="TableNormal3"/>
    <w:tblPr>
      <w:tblStyleRowBandSize w:val="1"/>
      <w:tblStyleColBandSize w:val="1"/>
      <w:tblCellMar>
        <w:top w:w="41.0" w:type="dxa"/>
        <w:left w:w="827.0" w:type="dxa"/>
        <w:right w:w="115.0" w:type="dxa"/>
      </w:tblCellMar>
    </w:tblPr>
  </w:style>
  <w:style w:type="table" w:styleId="afffffffff6" w:customStyle="1">
    <w:basedOn w:val="TableNormal3"/>
    <w:tblPr>
      <w:tblStyleRowBandSize w:val="1"/>
      <w:tblStyleColBandSize w:val="1"/>
      <w:tblCellMar>
        <w:top w:w="41.0" w:type="dxa"/>
        <w:left w:w="827.0" w:type="dxa"/>
        <w:right w:w="115.0" w:type="dxa"/>
      </w:tblCellMar>
    </w:tblPr>
  </w:style>
  <w:style w:type="table" w:styleId="afffffffff7" w:customStyle="1">
    <w:basedOn w:val="TableNormal3"/>
    <w:tblPr>
      <w:tblStyleRowBandSize w:val="1"/>
      <w:tblStyleColBandSize w:val="1"/>
      <w:tblCellMar>
        <w:top w:w="41.0" w:type="dxa"/>
        <w:left w:w="827.0" w:type="dxa"/>
        <w:right w:w="115.0" w:type="dxa"/>
      </w:tblCellMar>
    </w:tblPr>
  </w:style>
  <w:style w:type="table" w:styleId="afffffffff8" w:customStyle="1">
    <w:basedOn w:val="TableNormal3"/>
    <w:tblPr>
      <w:tblStyleRowBandSize w:val="1"/>
      <w:tblStyleColBandSize w:val="1"/>
      <w:tblCellMar>
        <w:top w:w="41.0" w:type="dxa"/>
        <w:left w:w="827.0" w:type="dxa"/>
        <w:right w:w="115.0" w:type="dxa"/>
      </w:tblCellMar>
    </w:tblPr>
  </w:style>
  <w:style w:type="table" w:styleId="afffffffff9" w:customStyle="1">
    <w:basedOn w:val="TableNormal3"/>
    <w:tblPr>
      <w:tblStyleRowBandSize w:val="1"/>
      <w:tblStyleColBandSize w:val="1"/>
      <w:tblCellMar>
        <w:top w:w="41.0" w:type="dxa"/>
        <w:left w:w="827.0" w:type="dxa"/>
        <w:right w:w="115.0" w:type="dxa"/>
      </w:tblCellMar>
    </w:tblPr>
  </w:style>
  <w:style w:type="table" w:styleId="afffffffffa" w:customStyle="1">
    <w:basedOn w:val="TableNormal3"/>
    <w:tblPr>
      <w:tblStyleRowBandSize w:val="1"/>
      <w:tblStyleColBandSize w:val="1"/>
      <w:tblCellMar>
        <w:top w:w="41.0" w:type="dxa"/>
        <w:left w:w="827.0" w:type="dxa"/>
        <w:right w:w="115.0" w:type="dxa"/>
      </w:tblCellMar>
    </w:tblPr>
  </w:style>
  <w:style w:type="table" w:styleId="afffffffffb" w:customStyle="1">
    <w:basedOn w:val="TableNormal3"/>
    <w:tblPr>
      <w:tblStyleRowBandSize w:val="1"/>
      <w:tblStyleColBandSize w:val="1"/>
      <w:tblCellMar>
        <w:top w:w="41.0" w:type="dxa"/>
        <w:left w:w="827.0" w:type="dxa"/>
        <w:right w:w="115.0" w:type="dxa"/>
      </w:tblCellMar>
    </w:tblPr>
  </w:style>
  <w:style w:type="table" w:styleId="afffffffffc" w:customStyle="1">
    <w:basedOn w:val="TableNormal3"/>
    <w:tblPr>
      <w:tblStyleRowBandSize w:val="1"/>
      <w:tblStyleColBandSize w:val="1"/>
      <w:tblCellMar>
        <w:top w:w="41.0" w:type="dxa"/>
        <w:left w:w="827.0" w:type="dxa"/>
        <w:right w:w="115.0" w:type="dxa"/>
      </w:tblCellMar>
    </w:tblPr>
  </w:style>
  <w:style w:type="table" w:styleId="afffffffffd" w:customStyle="1">
    <w:basedOn w:val="TableNormal3"/>
    <w:tblPr>
      <w:tblStyleRowBandSize w:val="1"/>
      <w:tblStyleColBandSize w:val="1"/>
      <w:tblCellMar>
        <w:top w:w="41.0" w:type="dxa"/>
        <w:left w:w="827.0" w:type="dxa"/>
        <w:right w:w="115.0" w:type="dxa"/>
      </w:tblCellMar>
    </w:tblPr>
  </w:style>
  <w:style w:type="table" w:styleId="afffffffffe" w:customStyle="1">
    <w:basedOn w:val="TableNormal3"/>
    <w:tblPr>
      <w:tblStyleRowBandSize w:val="1"/>
      <w:tblStyleColBandSize w:val="1"/>
      <w:tblCellMar>
        <w:top w:w="41.0" w:type="dxa"/>
        <w:left w:w="827.0" w:type="dxa"/>
        <w:right w:w="115.0" w:type="dxa"/>
      </w:tblCellMar>
    </w:tblPr>
  </w:style>
  <w:style w:type="table" w:styleId="affffffffff" w:customStyle="1">
    <w:basedOn w:val="TableNormal3"/>
    <w:tblPr>
      <w:tblStyleRowBandSize w:val="1"/>
      <w:tblStyleColBandSize w:val="1"/>
      <w:tblCellMar>
        <w:top w:w="41.0" w:type="dxa"/>
        <w:left w:w="827.0" w:type="dxa"/>
        <w:right w:w="115.0" w:type="dxa"/>
      </w:tblCellMar>
    </w:tblPr>
  </w:style>
  <w:style w:type="table" w:styleId="affffffffff0" w:customStyle="1">
    <w:basedOn w:val="TableNormal3"/>
    <w:tblPr>
      <w:tblStyleRowBandSize w:val="1"/>
      <w:tblStyleColBandSize w:val="1"/>
      <w:tblCellMar>
        <w:top w:w="41.0" w:type="dxa"/>
        <w:left w:w="827.0" w:type="dxa"/>
        <w:right w:w="115.0" w:type="dxa"/>
      </w:tblCellMar>
    </w:tblPr>
  </w:style>
  <w:style w:type="table" w:styleId="affffffffff1" w:customStyle="1">
    <w:basedOn w:val="TableNormal3"/>
    <w:tblPr>
      <w:tblStyleRowBandSize w:val="1"/>
      <w:tblStyleColBandSize w:val="1"/>
      <w:tblCellMar>
        <w:top w:w="41.0" w:type="dxa"/>
        <w:left w:w="827.0" w:type="dxa"/>
        <w:right w:w="115.0" w:type="dxa"/>
      </w:tblCellMar>
    </w:tblPr>
  </w:style>
  <w:style w:type="table" w:styleId="affffffffff2" w:customStyle="1">
    <w:basedOn w:val="TableNormal3"/>
    <w:tblPr>
      <w:tblStyleRowBandSize w:val="1"/>
      <w:tblStyleColBandSize w:val="1"/>
      <w:tblCellMar>
        <w:top w:w="41.0" w:type="dxa"/>
        <w:left w:w="827.0" w:type="dxa"/>
        <w:right w:w="115.0" w:type="dxa"/>
      </w:tblCellMar>
    </w:tblPr>
  </w:style>
  <w:style w:type="table" w:styleId="affffffffff3" w:customStyle="1">
    <w:basedOn w:val="TableNormal3"/>
    <w:tblPr>
      <w:tblStyleRowBandSize w:val="1"/>
      <w:tblStyleColBandSize w:val="1"/>
      <w:tblCellMar>
        <w:top w:w="41.0" w:type="dxa"/>
        <w:left w:w="827.0" w:type="dxa"/>
        <w:right w:w="115.0" w:type="dxa"/>
      </w:tblCellMar>
    </w:tblPr>
  </w:style>
  <w:style w:type="table" w:styleId="affffffffff4" w:customStyle="1">
    <w:basedOn w:val="TableNormal3"/>
    <w:tblPr>
      <w:tblStyleRowBandSize w:val="1"/>
      <w:tblStyleColBandSize w:val="1"/>
      <w:tblCellMar>
        <w:top w:w="41.0" w:type="dxa"/>
        <w:left w:w="827.0" w:type="dxa"/>
        <w:right w:w="115.0" w:type="dxa"/>
      </w:tblCellMar>
    </w:tblPr>
  </w:style>
  <w:style w:type="table" w:styleId="affffffffff5" w:customStyle="1">
    <w:basedOn w:val="TableNormal3"/>
    <w:tblPr>
      <w:tblStyleRowBandSize w:val="1"/>
      <w:tblStyleColBandSize w:val="1"/>
      <w:tblCellMar>
        <w:top w:w="41.0" w:type="dxa"/>
        <w:left w:w="827.0" w:type="dxa"/>
        <w:right w:w="115.0" w:type="dxa"/>
      </w:tblCellMar>
    </w:tblPr>
  </w:style>
  <w:style w:type="table" w:styleId="affffffffff6" w:customStyle="1">
    <w:basedOn w:val="TableNormal3"/>
    <w:tblPr>
      <w:tblStyleRowBandSize w:val="1"/>
      <w:tblStyleColBandSize w:val="1"/>
      <w:tblCellMar>
        <w:top w:w="41.0" w:type="dxa"/>
        <w:left w:w="827.0" w:type="dxa"/>
        <w:right w:w="115.0" w:type="dxa"/>
      </w:tblCellMar>
    </w:tblPr>
  </w:style>
  <w:style w:type="table" w:styleId="affffffffff7" w:customStyle="1">
    <w:basedOn w:val="TableNormal3"/>
    <w:tblPr>
      <w:tblStyleRowBandSize w:val="1"/>
      <w:tblStyleColBandSize w:val="1"/>
      <w:tblCellMar>
        <w:top w:w="41.0" w:type="dxa"/>
        <w:left w:w="827.0" w:type="dxa"/>
        <w:right w:w="115.0" w:type="dxa"/>
      </w:tblCellMar>
    </w:tblPr>
  </w:style>
  <w:style w:type="table" w:styleId="affffffffff8" w:customStyle="1">
    <w:basedOn w:val="TableNormal3"/>
    <w:tblPr>
      <w:tblStyleRowBandSize w:val="1"/>
      <w:tblStyleColBandSize w:val="1"/>
      <w:tblCellMar>
        <w:top w:w="41.0" w:type="dxa"/>
        <w:left w:w="827.0" w:type="dxa"/>
        <w:right w:w="115.0" w:type="dxa"/>
      </w:tblCellMar>
    </w:tblPr>
  </w:style>
  <w:style w:type="table" w:styleId="affffffffff9" w:customStyle="1">
    <w:basedOn w:val="TableNormal3"/>
    <w:tblPr>
      <w:tblStyleRowBandSize w:val="1"/>
      <w:tblStyleColBandSize w:val="1"/>
      <w:tblCellMar>
        <w:top w:w="41.0" w:type="dxa"/>
        <w:left w:w="827.0" w:type="dxa"/>
        <w:right w:w="115.0" w:type="dxa"/>
      </w:tblCellMar>
    </w:tblPr>
  </w:style>
  <w:style w:type="table" w:styleId="affffffffffa" w:customStyle="1">
    <w:basedOn w:val="TableNormal3"/>
    <w:tblPr>
      <w:tblStyleRowBandSize w:val="1"/>
      <w:tblStyleColBandSize w:val="1"/>
      <w:tblCellMar>
        <w:top w:w="100.0" w:type="dxa"/>
        <w:left w:w="100.0" w:type="dxa"/>
        <w:bottom w:w="100.0" w:type="dxa"/>
        <w:right w:w="100.0" w:type="dxa"/>
      </w:tblCellMar>
    </w:tblPr>
  </w:style>
  <w:style w:type="table" w:styleId="affffffffffb" w:customStyle="1">
    <w:basedOn w:val="TableNormal3"/>
    <w:tblPr>
      <w:tblStyleRowBandSize w:val="1"/>
      <w:tblStyleColBandSize w:val="1"/>
      <w:tblCellMar>
        <w:top w:w="41.0" w:type="dxa"/>
        <w:left w:w="827.0" w:type="dxa"/>
        <w:right w:w="115.0" w:type="dxa"/>
      </w:tblCellMar>
    </w:tblPr>
  </w:style>
  <w:style w:type="table" w:styleId="affffffffffc" w:customStyle="1">
    <w:basedOn w:val="TableNormal3"/>
    <w:tblPr>
      <w:tblStyleRowBandSize w:val="1"/>
      <w:tblStyleColBandSize w:val="1"/>
      <w:tblCellMar>
        <w:top w:w="41.0" w:type="dxa"/>
        <w:left w:w="827.0" w:type="dxa"/>
        <w:right w:w="115.0" w:type="dxa"/>
      </w:tblCellMar>
    </w:tblPr>
  </w:style>
  <w:style w:type="table" w:styleId="affffffffffd" w:customStyle="1">
    <w:basedOn w:val="TableNormal3"/>
    <w:tblPr>
      <w:tblStyleRowBandSize w:val="1"/>
      <w:tblStyleColBandSize w:val="1"/>
      <w:tblCellMar>
        <w:top w:w="41.0" w:type="dxa"/>
        <w:left w:w="827.0" w:type="dxa"/>
        <w:right w:w="115.0" w:type="dxa"/>
      </w:tblCellMar>
    </w:tblPr>
  </w:style>
  <w:style w:type="table" w:styleId="affffffffffe" w:customStyle="1">
    <w:basedOn w:val="TableNormal3"/>
    <w:tblPr>
      <w:tblStyleRowBandSize w:val="1"/>
      <w:tblStyleColBandSize w:val="1"/>
      <w:tblCellMar>
        <w:top w:w="41.0" w:type="dxa"/>
        <w:left w:w="827.0" w:type="dxa"/>
        <w:right w:w="115.0" w:type="dxa"/>
      </w:tblCellMar>
    </w:tblPr>
  </w:style>
  <w:style w:type="table" w:styleId="afffffffffff" w:customStyle="1">
    <w:basedOn w:val="TableNormal3"/>
    <w:tblPr>
      <w:tblStyleRowBandSize w:val="1"/>
      <w:tblStyleColBandSize w:val="1"/>
      <w:tblCellMar>
        <w:top w:w="41.0" w:type="dxa"/>
        <w:left w:w="827.0" w:type="dxa"/>
        <w:right w:w="115.0" w:type="dxa"/>
      </w:tblCellMar>
    </w:tblPr>
  </w:style>
  <w:style w:type="table" w:styleId="afffffffffff0" w:customStyle="1">
    <w:basedOn w:val="TableNormal3"/>
    <w:tblPr>
      <w:tblStyleRowBandSize w:val="1"/>
      <w:tblStyleColBandSize w:val="1"/>
      <w:tblCellMar>
        <w:top w:w="41.0" w:type="dxa"/>
        <w:left w:w="827.0" w:type="dxa"/>
        <w:right w:w="115.0" w:type="dxa"/>
      </w:tblCellMar>
    </w:tblPr>
  </w:style>
  <w:style w:type="table" w:styleId="afffffffffff1" w:customStyle="1">
    <w:basedOn w:val="TableNormal3"/>
    <w:tblPr>
      <w:tblStyleRowBandSize w:val="1"/>
      <w:tblStyleColBandSize w:val="1"/>
      <w:tblCellMar>
        <w:top w:w="41.0" w:type="dxa"/>
        <w:left w:w="827.0" w:type="dxa"/>
        <w:right w:w="115.0" w:type="dxa"/>
      </w:tblCellMar>
    </w:tblPr>
  </w:style>
  <w:style w:type="table" w:styleId="afffffffffff2" w:customStyle="1">
    <w:basedOn w:val="TableNormal3"/>
    <w:tblPr>
      <w:tblStyleRowBandSize w:val="1"/>
      <w:tblStyleColBandSize w:val="1"/>
      <w:tblCellMar>
        <w:top w:w="41.0" w:type="dxa"/>
        <w:left w:w="827.0" w:type="dxa"/>
        <w:right w:w="115.0" w:type="dxa"/>
      </w:tblCellMar>
    </w:tblPr>
  </w:style>
  <w:style w:type="table" w:styleId="afffffffffff3" w:customStyle="1">
    <w:basedOn w:val="TableNormal3"/>
    <w:tblPr>
      <w:tblStyleRowBandSize w:val="1"/>
      <w:tblStyleColBandSize w:val="1"/>
      <w:tblCellMar>
        <w:top w:w="41.0" w:type="dxa"/>
        <w:left w:w="827.0" w:type="dxa"/>
        <w:right w:w="115.0" w:type="dxa"/>
      </w:tblCellMar>
    </w:tblPr>
  </w:style>
  <w:style w:type="table" w:styleId="afffffffffff4" w:customStyle="1">
    <w:basedOn w:val="TableNormal3"/>
    <w:tblPr>
      <w:tblStyleRowBandSize w:val="1"/>
      <w:tblStyleColBandSize w:val="1"/>
      <w:tblCellMar>
        <w:top w:w="41.0" w:type="dxa"/>
        <w:left w:w="827.0" w:type="dxa"/>
        <w:right w:w="115.0" w:type="dxa"/>
      </w:tblCellMar>
    </w:tblPr>
  </w:style>
  <w:style w:type="table" w:styleId="afffffffffff5" w:customStyle="1">
    <w:basedOn w:val="TableNormal3"/>
    <w:tblPr>
      <w:tblStyleRowBandSize w:val="1"/>
      <w:tblStyleColBandSize w:val="1"/>
      <w:tblCellMar>
        <w:top w:w="41.0" w:type="dxa"/>
        <w:left w:w="827.0" w:type="dxa"/>
        <w:right w:w="115.0" w:type="dxa"/>
      </w:tblCellMar>
    </w:tblPr>
  </w:style>
  <w:style w:type="character" w:styleId="Mencinsinresolver">
    <w:name w:val="Unresolved Mention"/>
    <w:basedOn w:val="Fuentedeprrafopredeter"/>
    <w:uiPriority w:val="99"/>
    <w:semiHidden w:val="1"/>
    <w:unhideWhenUsed w:val="1"/>
    <w:rsid w:val="00C059AA"/>
    <w:rPr>
      <w:color w:val="605e5c"/>
      <w:shd w:color="auto" w:fill="e1dfdd" w:val="clear"/>
    </w:rPr>
  </w:style>
  <w:style w:type="table" w:styleId="Tablaconcuadrcula">
    <w:name w:val="Table Grid"/>
    <w:basedOn w:val="Tablanormal"/>
    <w:uiPriority w:val="39"/>
    <w:rsid w:val="00005CC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 w:type="table" w:styleId="Table13">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esespem.edomex.gob.mx/quiero-mi-municipio-transite-modelo-homologado-justicia-civica" TargetMode="External"/><Relationship Id="rId22" Type="http://schemas.openxmlformats.org/officeDocument/2006/relationships/hyperlink" Target="https://sesespem.edomex.gob.mx/personal" TargetMode="External"/><Relationship Id="rId21" Type="http://schemas.openxmlformats.org/officeDocument/2006/relationships/hyperlink" Target="https://sesespem.edomex.gob.mx/normatividad" TargetMode="External"/><Relationship Id="rId24" Type="http://schemas.openxmlformats.org/officeDocument/2006/relationships/hyperlink" Target="https://sesespem.edomex.gob.mx/funcionamiento" TargetMode="External"/><Relationship Id="rId23" Type="http://schemas.openxmlformats.org/officeDocument/2006/relationships/hyperlink" Target="https://sesespem.edomex.gob.mx/infraestructur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sespem.edomex.gob.mx/objetivos-justicia-civica" TargetMode="External"/><Relationship Id="rId26" Type="http://schemas.openxmlformats.org/officeDocument/2006/relationships/hyperlink" Target="https://sesespem.edomex.gob.mx/resolucion-seguimiento-personas-infractoras" TargetMode="External"/><Relationship Id="rId25" Type="http://schemas.openxmlformats.org/officeDocument/2006/relationships/hyperlink" Target="https://sesespem.edomex.gob.mx/audiencias-publicias" TargetMode="External"/><Relationship Id="rId28" Type="http://schemas.openxmlformats.org/officeDocument/2006/relationships/hyperlink" Target="https://sesespem.edomex.gob.mx/modalidad-itinerante" TargetMode="External"/><Relationship Id="rId27" Type="http://schemas.openxmlformats.org/officeDocument/2006/relationships/hyperlink" Target="https://sesespem.edomex.gob.mx/sistema-registro-informacio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x.com/SecretariadoGEM/status/1926062812054306901" TargetMode="External"/><Relationship Id="rId7" Type="http://schemas.openxmlformats.org/officeDocument/2006/relationships/hyperlink" Target="https://sesespem.edomex.gob.mx/quiero-saber-mas-sobre-justicia-civica" TargetMode="External"/><Relationship Id="rId8" Type="http://schemas.openxmlformats.org/officeDocument/2006/relationships/hyperlink" Target="https://sesespem.edomex.gob.mx/definicion-justicia-civica" TargetMode="External"/><Relationship Id="rId31" Type="http://schemas.openxmlformats.org/officeDocument/2006/relationships/hyperlink" Target="https://www.facebook.com/share/p/196ZmAKyMS/" TargetMode="External"/><Relationship Id="rId30" Type="http://schemas.openxmlformats.org/officeDocument/2006/relationships/image" Target="media/image1.png"/><Relationship Id="rId11" Type="http://schemas.openxmlformats.org/officeDocument/2006/relationships/hyperlink" Target="https://sesespem.edomex.gob.mx/que-infracciones" TargetMode="External"/><Relationship Id="rId33" Type="http://schemas.openxmlformats.org/officeDocument/2006/relationships/hyperlink" Target="https://sesespem.edomex.gob.mx/justicia-civica" TargetMode="External"/><Relationship Id="rId10" Type="http://schemas.openxmlformats.org/officeDocument/2006/relationships/hyperlink" Target="https://sesespem.edomex.gob.mx/que-Juzgado-civico" TargetMode="External"/><Relationship Id="rId32" Type="http://schemas.openxmlformats.org/officeDocument/2006/relationships/image" Target="media/image3.png"/><Relationship Id="rId13" Type="http://schemas.openxmlformats.org/officeDocument/2006/relationships/hyperlink" Target="https://sesespem.edomex.gob.mx/que-conflictos-comunitarios" TargetMode="External"/><Relationship Id="rId35" Type="http://schemas.openxmlformats.org/officeDocument/2006/relationships/hyperlink" Target="https://sesespem.edomex.gob.mx/justicia-civica-acciones" TargetMode="External"/><Relationship Id="rId12" Type="http://schemas.openxmlformats.org/officeDocument/2006/relationships/hyperlink" Target="https://sesespem.edomex.gob.mx/que-sanciones" TargetMode="External"/><Relationship Id="rId34" Type="http://schemas.openxmlformats.org/officeDocument/2006/relationships/hyperlink" Target="https://sesespem.edomex.gob.mx/justicia-civica" TargetMode="External"/><Relationship Id="rId15" Type="http://schemas.openxmlformats.org/officeDocument/2006/relationships/hyperlink" Target="https://sesespem.edomex.gob.mx/que-policia-in-situ" TargetMode="External"/><Relationship Id="rId37" Type="http://schemas.openxmlformats.org/officeDocument/2006/relationships/footer" Target="footer1.xml"/><Relationship Id="rId14" Type="http://schemas.openxmlformats.org/officeDocument/2006/relationships/hyperlink" Target="https://sesespem.edomex.gob.mx/que-tamizaje" TargetMode="External"/><Relationship Id="rId36" Type="http://schemas.openxmlformats.org/officeDocument/2006/relationships/header" Target="header1.xml"/><Relationship Id="rId17" Type="http://schemas.openxmlformats.org/officeDocument/2006/relationships/hyperlink" Target="https://sesespem.edomex.gob.mx/procedimiento-queja" TargetMode="External"/><Relationship Id="rId16" Type="http://schemas.openxmlformats.org/officeDocument/2006/relationships/hyperlink" Target="https://sesespem.edomex.gob.mx/procedimiento-ordinario" TargetMode="External"/><Relationship Id="rId19" Type="http://schemas.openxmlformats.org/officeDocument/2006/relationships/hyperlink" Target="https://sesespem.edomex.gob.mx/antecedentes-justicia-civicia" TargetMode="External"/><Relationship Id="rId18" Type="http://schemas.openxmlformats.org/officeDocument/2006/relationships/hyperlink" Target="https://sesespem.edomex.gob.mx/como-puedo-acceder-justicia-civi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5lglPXRUv6LUYKkcjTPN4b4kQ==">CgMxLjAyCWguMWZvYjl0ZTIJaC4zMGowemxsOAByITFGdUNuNzRUaVg5TGxhOHRrOWFlRHJTQ2tVY3RSN1QwcQ==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2025-05-22T23:36:00Z</dcterms:created>
  <dc:creator>Jonathan Guillermo Munoz Acevedo</dc:creator>
</cp:coreProperties>
</file>